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1AEDA389" w14:textId="29A77D09" w:rsidR="007276BB" w:rsidRPr="007276BB" w:rsidRDefault="007276B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6BB">
              <w:rPr>
                <w:rFonts w:ascii="Arial" w:hAnsi="Arial" w:cs="Arial"/>
                <w:sz w:val="20"/>
                <w:szCs w:val="20"/>
              </w:rPr>
              <w:t>Language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197499F0" w:rsidR="003A5EBD" w:rsidRPr="001E0887" w:rsidRDefault="007276B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Conventions of Standard English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1BB3EC9B" w:rsidR="003A5EBD" w:rsidRPr="004361F3" w:rsidRDefault="004361F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361F3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762FCA11" w14:textId="77777777" w:rsidR="003A5EBD" w:rsidRPr="004361F3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361F3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4361F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0E56F579" w:rsidR="004361F3" w:rsidRPr="004361F3" w:rsidRDefault="004361F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361F3">
              <w:rPr>
                <w:rFonts w:ascii="Arial" w:hAnsi="Arial"/>
                <w:color w:val="000000"/>
                <w:sz w:val="20"/>
                <w:szCs w:val="24"/>
              </w:rPr>
              <w:t>Demonstrate command of the conventions of standard English grammar and usage when writing or speaking.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4361F3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361F3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4361F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E11C920" w14:textId="77777777" w:rsidR="004361F3" w:rsidRDefault="004361F3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</w:pPr>
            <w:r>
              <w:rPr>
                <w:rFonts w:ascii="Arial" w:hAnsi="Arial"/>
                <w:sz w:val="20"/>
                <w:szCs w:val="24"/>
              </w:rPr>
              <w:t>L.4.1</w:t>
            </w:r>
            <w:r w:rsidRPr="004361F3">
              <w:rPr>
                <w:rFonts w:ascii="Arial" w:hAnsi="Arial"/>
                <w:sz w:val="20"/>
                <w:szCs w:val="24"/>
              </w:rPr>
              <w:t xml:space="preserve"> 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Demonstrate command of the conventions of standard English grammar and usage when writing or speaking.  </w:t>
            </w:r>
          </w:p>
          <w:p w14:paraId="3913D323" w14:textId="35195C9E" w:rsidR="004361F3" w:rsidRPr="004361F3" w:rsidRDefault="004361F3" w:rsidP="003C0EC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Use relative pronouns (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who, whose, whom, which, that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 and relative adverbs (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where, when, why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).</w:t>
            </w:r>
          </w:p>
          <w:p w14:paraId="565ADD38" w14:textId="67A02738" w:rsidR="004361F3" w:rsidRPr="004361F3" w:rsidRDefault="004361F3" w:rsidP="003C0EC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6"/>
                <w:szCs w:val="20"/>
              </w:rPr>
            </w:pP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Form and use the progressive (e.g., 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I was walking; I am walking; I will be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 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walking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 verb tenses.</w:t>
            </w:r>
          </w:p>
          <w:p w14:paraId="060D7DA4" w14:textId="58BB88DF" w:rsidR="004361F3" w:rsidRPr="004361F3" w:rsidRDefault="004361F3" w:rsidP="003C0EC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6"/>
                <w:szCs w:val="20"/>
              </w:rPr>
            </w:pP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Use modal auxiliaries (e.g., 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can, may,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 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must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 to convey various conditions.</w:t>
            </w:r>
          </w:p>
          <w:p w14:paraId="2D7EC2E2" w14:textId="2A03078C" w:rsidR="004361F3" w:rsidRPr="004361F3" w:rsidRDefault="004361F3" w:rsidP="003C0EC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6"/>
                <w:szCs w:val="20"/>
              </w:rPr>
            </w:pP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Order adjectives within sentences according to conventional patterns (e.g., 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a small red bag rather than a red small bag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).</w:t>
            </w:r>
          </w:p>
          <w:p w14:paraId="5145591B" w14:textId="41996054" w:rsidR="004361F3" w:rsidRPr="004361F3" w:rsidRDefault="004361F3" w:rsidP="003C0EC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2"/>
                <w:szCs w:val="20"/>
              </w:rPr>
            </w:pP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Form and use prepositional phrases.</w:t>
            </w:r>
          </w:p>
          <w:p w14:paraId="09841357" w14:textId="2AE6AA3A" w:rsidR="004361F3" w:rsidRPr="004361F3" w:rsidRDefault="004361F3" w:rsidP="003C0EC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2"/>
                <w:szCs w:val="20"/>
              </w:rPr>
            </w:pP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Produce complete sentences, recognizing and correcting inappropriate fragments and run-ons.*</w:t>
            </w:r>
          </w:p>
          <w:p w14:paraId="6E1D40B2" w14:textId="174C930C" w:rsidR="004361F3" w:rsidRPr="004361F3" w:rsidRDefault="004361F3" w:rsidP="003C0EC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2"/>
                <w:szCs w:val="20"/>
              </w:rPr>
            </w:pP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Correctly use frequently confused words (e.g., 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to, too, two; there, their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).*</w:t>
            </w:r>
          </w:p>
          <w:p w14:paraId="48B1C921" w14:textId="77777777" w:rsidR="003A5EBD" w:rsidRPr="004361F3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98C7E4F" w14:textId="77777777" w:rsidR="008A7DE2" w:rsidRPr="008A7DE2" w:rsidRDefault="008A7DE2" w:rsidP="008A7D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4DD68B71" w14:textId="77777777" w:rsidR="008A7DE2" w:rsidRPr="008A7DE2" w:rsidRDefault="008A7DE2" w:rsidP="008A7D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3AB059B9" w14:textId="77777777" w:rsidR="008A7DE2" w:rsidRPr="008A7DE2" w:rsidRDefault="008A7DE2" w:rsidP="008A7D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2BE2C4DE" w14:textId="77777777" w:rsidR="003A5EBD" w:rsidRDefault="008A7DE2" w:rsidP="008A7D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7913C960" w14:textId="77777777" w:rsidR="008A7DE2" w:rsidRPr="008A7DE2" w:rsidRDefault="008A7DE2" w:rsidP="008A7D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2A59EB72" w14:textId="07215B45" w:rsidR="008A7DE2" w:rsidRPr="001E0887" w:rsidRDefault="008A7DE2" w:rsidP="008A7D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1E13B174" w:rsidR="003A5EBD" w:rsidRPr="001E0887" w:rsidRDefault="00FA6968" w:rsidP="00FA6968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Use correct grammar when writing or speaking.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365E22EA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6994BC4A" w14:textId="2865245B" w:rsidR="003A5EBD" w:rsidRDefault="004361F3" w:rsidP="00436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0E7983" w14:textId="77777777" w:rsidR="004361F3" w:rsidRP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hAnsi="Arial" w:cs="Arial"/>
                <w:sz w:val="20"/>
                <w:szCs w:val="24"/>
              </w:rPr>
              <w:t>Define a pronoun</w:t>
            </w:r>
          </w:p>
          <w:p w14:paraId="4EE0867C" w14:textId="05D941AB" w:rsid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hAnsi="Arial" w:cs="Arial"/>
                <w:sz w:val="20"/>
                <w:szCs w:val="24"/>
              </w:rPr>
              <w:t xml:space="preserve">Identify the difference between noun and </w:t>
            </w:r>
            <w:r>
              <w:rPr>
                <w:rFonts w:ascii="Arial" w:hAnsi="Arial" w:cs="Arial"/>
                <w:sz w:val="20"/>
                <w:szCs w:val="24"/>
              </w:rPr>
              <w:t>pro</w:t>
            </w:r>
            <w:r w:rsidRPr="004361F3">
              <w:rPr>
                <w:rFonts w:ascii="Arial" w:hAnsi="Arial" w:cs="Arial"/>
                <w:sz w:val="20"/>
                <w:szCs w:val="24"/>
              </w:rPr>
              <w:t>nouns.</w:t>
            </w:r>
          </w:p>
          <w:p w14:paraId="41D3DBF1" w14:textId="3935EA87" w:rsidR="004361F3" w:rsidRP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hAnsi="Arial" w:cs="Arial"/>
                <w:sz w:val="20"/>
                <w:szCs w:val="24"/>
              </w:rPr>
              <w:t>Define relative adverb</w:t>
            </w:r>
          </w:p>
          <w:p w14:paraId="169413AC" w14:textId="77777777" w:rsidR="004361F3" w:rsidRP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hAnsi="Arial" w:cs="Arial"/>
                <w:sz w:val="20"/>
                <w:szCs w:val="24"/>
              </w:rPr>
              <w:t>Identify the difference between adverbs and relative adverbs.</w:t>
            </w:r>
          </w:p>
          <w:p w14:paraId="49C3720B" w14:textId="77777777" w:rsid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hAnsi="Arial" w:cs="Arial"/>
                <w:sz w:val="20"/>
                <w:szCs w:val="24"/>
              </w:rPr>
              <w:t>Identify pronouns and/or relative adverbs in written and oral work.</w:t>
            </w:r>
          </w:p>
          <w:p w14:paraId="7B232C3E" w14:textId="77777777" w:rsidR="004361F3" w:rsidRP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hAnsi="Arial" w:cs="Arial"/>
                <w:sz w:val="20"/>
                <w:szCs w:val="24"/>
              </w:rPr>
              <w:t>Explain reasons for choosing pronouns and relative adverbs.</w:t>
            </w:r>
          </w:p>
          <w:p w14:paraId="69FAF18D" w14:textId="77777777" w:rsidR="004361F3" w:rsidRP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hAnsi="Arial" w:cs="Arial"/>
                <w:sz w:val="20"/>
                <w:szCs w:val="24"/>
              </w:rPr>
              <w:lastRenderedPageBreak/>
              <w:t>Create work with pronouns and relative adverbs.</w:t>
            </w:r>
          </w:p>
          <w:p w14:paraId="4D77BEA3" w14:textId="77777777" w:rsidR="004361F3" w:rsidRP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Use relative pronouns (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who, whose, whom, which, that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 and relative adverbs (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where, when, why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).</w:t>
            </w:r>
          </w:p>
          <w:p w14:paraId="7605F444" w14:textId="77777777" w:rsidR="004361F3" w:rsidRDefault="004361F3" w:rsidP="00436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969A13" w14:textId="77777777" w:rsidR="004361F3" w:rsidRP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hAnsi="Arial" w:cs="Arial"/>
                <w:sz w:val="20"/>
                <w:szCs w:val="24"/>
              </w:rPr>
              <w:t>Define progressive tense.</w:t>
            </w:r>
          </w:p>
          <w:p w14:paraId="09A186C6" w14:textId="77777777" w:rsidR="004361F3" w:rsidRP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hAnsi="Arial" w:cs="Arial"/>
                <w:sz w:val="20"/>
                <w:szCs w:val="24"/>
              </w:rPr>
              <w:t>Identify progressive tense in written or oral work.</w:t>
            </w:r>
          </w:p>
          <w:p w14:paraId="14BC126E" w14:textId="77777777" w:rsidR="004361F3" w:rsidRPr="004361F3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hAnsi="Arial" w:cs="Arial"/>
                <w:sz w:val="20"/>
                <w:szCs w:val="24"/>
              </w:rPr>
              <w:t>Create examples of the progressive tense in written and oral work.</w:t>
            </w:r>
          </w:p>
          <w:p w14:paraId="0E1BC34B" w14:textId="77777777" w:rsidR="004361F3" w:rsidRPr="00991A32" w:rsidRDefault="004361F3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Form and use the progressive (e.g., 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I was walking; I am walking; I will be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 </w:t>
            </w:r>
            <w:r w:rsidRPr="004361F3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walking</w:t>
            </w:r>
            <w:r w:rsidRPr="004361F3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 verb tenses.</w:t>
            </w:r>
          </w:p>
          <w:p w14:paraId="07AD54AD" w14:textId="77777777" w:rsidR="00991A32" w:rsidRDefault="00991A32" w:rsidP="00991A32">
            <w:pPr>
              <w:spacing w:after="0" w:line="240" w:lineRule="auto"/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</w:pPr>
          </w:p>
          <w:p w14:paraId="1F96162A" w14:textId="77777777" w:rsidR="00991A32" w:rsidRDefault="00991A32" w:rsidP="00991A32">
            <w:pPr>
              <w:spacing w:after="0" w:line="240" w:lineRule="auto"/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</w:pPr>
            <w:proofErr w:type="gramStart"/>
            <w:r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c</w:t>
            </w:r>
            <w:proofErr w:type="gramEnd"/>
            <w:r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.</w:t>
            </w:r>
          </w:p>
          <w:p w14:paraId="2B62FCD6" w14:textId="60C56811" w:rsidR="00991A32" w:rsidRPr="0039278B" w:rsidRDefault="00991A32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>Define modal auxiliary (helping verbs)</w:t>
            </w:r>
            <w:r w:rsidR="0039278B">
              <w:rPr>
                <w:rFonts w:ascii="Arial" w:hAnsi="Arial" w:cs="Arial"/>
                <w:sz w:val="20"/>
                <w:szCs w:val="24"/>
              </w:rPr>
              <w:t>.</w:t>
            </w:r>
          </w:p>
          <w:p w14:paraId="4B1243B8" w14:textId="0A8A35E1" w:rsidR="00991A32" w:rsidRPr="0039278B" w:rsidRDefault="00991A32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>Identify modal auxiliary examples in written or oral work</w:t>
            </w:r>
            <w:r w:rsidR="0039278B" w:rsidRPr="0039278B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39278B">
              <w:rPr>
                <w:rFonts w:ascii="Arial" w:hAnsi="Arial" w:cs="Arial"/>
                <w:sz w:val="20"/>
                <w:szCs w:val="24"/>
              </w:rPr>
              <w:t>(am, is, our, was, were, be, being, been, have, has, had, do does, did, may, might, can, could, shall, should, will, would, must, and not)</w:t>
            </w:r>
            <w:r w:rsidR="0039278B">
              <w:rPr>
                <w:rFonts w:ascii="Arial" w:hAnsi="Arial" w:cs="Arial"/>
                <w:sz w:val="20"/>
                <w:szCs w:val="24"/>
              </w:rPr>
              <w:t>.</w:t>
            </w:r>
          </w:p>
          <w:p w14:paraId="16BCC363" w14:textId="77777777" w:rsidR="00991A32" w:rsidRPr="0039278B" w:rsidRDefault="00991A32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>Explain the reason for using modal auxiliary in written or oral work.</w:t>
            </w:r>
          </w:p>
          <w:p w14:paraId="5675EAC9" w14:textId="69C4939E" w:rsidR="00FA6968" w:rsidRPr="00FA6968" w:rsidRDefault="00FA6968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FA6968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Use modal auxiliaries (e.g., </w:t>
            </w:r>
            <w:r w:rsidRPr="00FA6968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can, may,</w:t>
            </w:r>
            <w:r w:rsidRPr="00FA6968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 </w:t>
            </w:r>
            <w:r w:rsidRPr="00FA6968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must</w:t>
            </w:r>
            <w:r w:rsidRPr="00FA6968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 to convey various conditions.</w:t>
            </w:r>
          </w:p>
          <w:p w14:paraId="5BDD0E44" w14:textId="77777777" w:rsidR="00991A32" w:rsidRDefault="00991A32" w:rsidP="00991A32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  <w:p w14:paraId="3DF9BCB7" w14:textId="77777777" w:rsidR="00991A32" w:rsidRDefault="00991A32" w:rsidP="00991A32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sz w:val="20"/>
                <w:szCs w:val="24"/>
              </w:rPr>
              <w:t>d</w:t>
            </w:r>
            <w:proofErr w:type="gramEnd"/>
            <w:r>
              <w:rPr>
                <w:rFonts w:ascii="Arial" w:hAnsi="Arial" w:cs="Arial"/>
                <w:sz w:val="20"/>
                <w:szCs w:val="24"/>
              </w:rPr>
              <w:t>.</w:t>
            </w:r>
          </w:p>
          <w:p w14:paraId="5545E373" w14:textId="77777777" w:rsidR="00991A32" w:rsidRDefault="00991A32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>Identify examples of the correct order of adjectives.</w:t>
            </w:r>
          </w:p>
          <w:p w14:paraId="06DFEC68" w14:textId="0E853FB1" w:rsidR="003C0ECA" w:rsidRPr="0039278B" w:rsidRDefault="003C0ECA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Determine the</w:t>
            </w:r>
            <w:r w:rsidRPr="0039278B">
              <w:rPr>
                <w:rFonts w:ascii="Arial" w:hAnsi="Arial" w:cs="Arial"/>
                <w:sz w:val="20"/>
                <w:szCs w:val="24"/>
              </w:rPr>
              <w:t xml:space="preserve"> correct order of adjectives</w:t>
            </w:r>
            <w:r>
              <w:rPr>
                <w:rFonts w:ascii="Arial" w:hAnsi="Arial" w:cs="Arial"/>
                <w:sz w:val="20"/>
                <w:szCs w:val="24"/>
              </w:rPr>
              <w:t xml:space="preserve"> in given examples</w:t>
            </w:r>
            <w:r w:rsidRPr="0039278B">
              <w:rPr>
                <w:rFonts w:ascii="Arial" w:hAnsi="Arial" w:cs="Arial"/>
                <w:sz w:val="20"/>
                <w:szCs w:val="24"/>
              </w:rPr>
              <w:t>.</w:t>
            </w:r>
          </w:p>
          <w:p w14:paraId="5610B649" w14:textId="77777777" w:rsidR="00991A32" w:rsidRPr="0039278B" w:rsidRDefault="00991A32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>Evaluate adjectives and determine if the correct order is used.</w:t>
            </w:r>
          </w:p>
          <w:p w14:paraId="5A2DE8F5" w14:textId="77777777" w:rsidR="00991A32" w:rsidRPr="0039278B" w:rsidRDefault="00991A32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Order adjectives within sentences according to conventional patterns (e.g., </w:t>
            </w:r>
            <w:r w:rsidRPr="0039278B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a small red bag rather than a red small bag</w:t>
            </w:r>
            <w:r w:rsidRPr="0039278B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).</w:t>
            </w:r>
          </w:p>
          <w:p w14:paraId="30C98535" w14:textId="77777777" w:rsidR="00991A32" w:rsidRDefault="00991A32" w:rsidP="00991A32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  <w:p w14:paraId="2E4EE20F" w14:textId="2343383C" w:rsidR="00991A32" w:rsidRDefault="00991A32" w:rsidP="00991A32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sz w:val="20"/>
                <w:szCs w:val="24"/>
              </w:rPr>
              <w:t>e</w:t>
            </w:r>
            <w:proofErr w:type="gramEnd"/>
            <w:r>
              <w:rPr>
                <w:rFonts w:ascii="Arial" w:hAnsi="Arial" w:cs="Arial"/>
                <w:sz w:val="20"/>
                <w:szCs w:val="24"/>
              </w:rPr>
              <w:t>.</w:t>
            </w:r>
          </w:p>
          <w:p w14:paraId="785E91FC" w14:textId="77777777" w:rsidR="0039278B" w:rsidRPr="0039278B" w:rsidRDefault="0039278B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>Define prepositional phrase.</w:t>
            </w:r>
          </w:p>
          <w:p w14:paraId="4717A253" w14:textId="77777777" w:rsidR="003C0ECA" w:rsidRDefault="0039278B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>Identify prepositional phrases in written and oral work.</w:t>
            </w:r>
            <w:r w:rsidR="003C0ECA" w:rsidRPr="0039278B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  <w:p w14:paraId="5F13576C" w14:textId="1C230E09" w:rsidR="0039278B" w:rsidRPr="003C0ECA" w:rsidRDefault="003C0ECA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 xml:space="preserve">Explain the reasons for prepositional </w:t>
            </w:r>
            <w:r w:rsidRPr="0039278B">
              <w:rPr>
                <w:rFonts w:ascii="Arial" w:hAnsi="Arial" w:cs="Arial"/>
                <w:sz w:val="20"/>
                <w:szCs w:val="24"/>
              </w:rPr>
              <w:lastRenderedPageBreak/>
              <w:t>phrases in written and oral work.</w:t>
            </w:r>
          </w:p>
          <w:p w14:paraId="6368F4B4" w14:textId="77777777" w:rsidR="0039278B" w:rsidRPr="0039278B" w:rsidRDefault="0039278B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Form and use prepositional phrases.</w:t>
            </w:r>
          </w:p>
          <w:p w14:paraId="2CE60857" w14:textId="77777777" w:rsidR="0039278B" w:rsidRDefault="0039278B" w:rsidP="00991A32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  <w:p w14:paraId="4C8090EE" w14:textId="77777777" w:rsidR="0039278B" w:rsidRDefault="0039278B" w:rsidP="00991A32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sz w:val="20"/>
                <w:szCs w:val="24"/>
              </w:rPr>
              <w:t>f</w:t>
            </w:r>
            <w:proofErr w:type="gramEnd"/>
            <w:r>
              <w:rPr>
                <w:rFonts w:ascii="Arial" w:hAnsi="Arial" w:cs="Arial"/>
                <w:sz w:val="20"/>
                <w:szCs w:val="24"/>
              </w:rPr>
              <w:t>.</w:t>
            </w:r>
          </w:p>
          <w:p w14:paraId="67C5DADE" w14:textId="77777777" w:rsidR="0039278B" w:rsidRPr="0039278B" w:rsidRDefault="0039278B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>Define a complete sentence. (with focus on fragments and run-ons)</w:t>
            </w:r>
          </w:p>
          <w:p w14:paraId="6F3E32B0" w14:textId="35C51D9D" w:rsidR="003C0ECA" w:rsidRPr="003C0ECA" w:rsidRDefault="0039278B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>Identify complete sentences in written and oral work. (with focus on fragments and run-ons)</w:t>
            </w:r>
          </w:p>
          <w:p w14:paraId="65191A62" w14:textId="77777777" w:rsidR="003C0ECA" w:rsidRPr="003C0ECA" w:rsidRDefault="0039278B" w:rsidP="00FA696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16"/>
                <w:szCs w:val="24"/>
              </w:rPr>
            </w:pPr>
            <w:r w:rsidRPr="0039278B">
              <w:rPr>
                <w:rFonts w:ascii="Arial" w:hAnsi="Arial" w:cs="Arial"/>
                <w:sz w:val="20"/>
                <w:szCs w:val="24"/>
              </w:rPr>
              <w:t>Explain the reasoning for using complete sentences.</w:t>
            </w:r>
          </w:p>
          <w:p w14:paraId="1923D4C8" w14:textId="77777777" w:rsidR="004361F3" w:rsidRPr="003C0ECA" w:rsidRDefault="003C0ECA" w:rsidP="00FA696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16"/>
                <w:szCs w:val="24"/>
              </w:rPr>
            </w:pPr>
            <w:r w:rsidRPr="003C0ECA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Produce complete sentences, recognizing and correcting inappropriate fragments and run-ons.</w:t>
            </w:r>
          </w:p>
          <w:p w14:paraId="0EA6BBAD" w14:textId="77777777" w:rsidR="003C0ECA" w:rsidRDefault="003C0ECA" w:rsidP="003C0ECA">
            <w:pPr>
              <w:pStyle w:val="ListParagraph"/>
              <w:spacing w:after="0" w:line="240" w:lineRule="auto"/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</w:pPr>
          </w:p>
          <w:p w14:paraId="2D5B735B" w14:textId="77777777" w:rsidR="003C0ECA" w:rsidRDefault="003C0ECA" w:rsidP="003C0ECA">
            <w:pPr>
              <w:spacing w:after="0" w:line="240" w:lineRule="auto"/>
              <w:rPr>
                <w:rFonts w:ascii="Arial" w:hAnsi="Arial" w:cs="Arial"/>
                <w:sz w:val="16"/>
                <w:szCs w:val="24"/>
              </w:rPr>
            </w:pPr>
            <w:proofErr w:type="gramStart"/>
            <w:r>
              <w:rPr>
                <w:rFonts w:ascii="Arial" w:hAnsi="Arial" w:cs="Arial"/>
                <w:sz w:val="16"/>
                <w:szCs w:val="24"/>
              </w:rPr>
              <w:t>g</w:t>
            </w:r>
            <w:proofErr w:type="gramEnd"/>
            <w:r>
              <w:rPr>
                <w:rFonts w:ascii="Arial" w:hAnsi="Arial" w:cs="Arial"/>
                <w:sz w:val="16"/>
                <w:szCs w:val="24"/>
              </w:rPr>
              <w:t>.</w:t>
            </w:r>
          </w:p>
          <w:p w14:paraId="32CD5C73" w14:textId="77777777" w:rsidR="003C0ECA" w:rsidRDefault="003C0ECA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C0ECA">
              <w:rPr>
                <w:rFonts w:ascii="Arial" w:hAnsi="Arial" w:cs="Arial"/>
                <w:sz w:val="20"/>
                <w:szCs w:val="24"/>
              </w:rPr>
              <w:t>Identify the true use of frequently confused words in written and oral work.</w:t>
            </w:r>
          </w:p>
          <w:p w14:paraId="050C308E" w14:textId="77777777" w:rsidR="003C0ECA" w:rsidRPr="003C0ECA" w:rsidRDefault="003C0ECA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C0ECA">
              <w:rPr>
                <w:rFonts w:ascii="Arial" w:hAnsi="Arial" w:cs="Arial"/>
                <w:sz w:val="20"/>
                <w:szCs w:val="24"/>
              </w:rPr>
              <w:t>Explain the reasons for using correct words.</w:t>
            </w:r>
          </w:p>
          <w:p w14:paraId="0B608644" w14:textId="77777777" w:rsidR="003C0ECA" w:rsidRPr="003C0ECA" w:rsidRDefault="003C0ECA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C0ECA">
              <w:rPr>
                <w:rFonts w:ascii="Arial" w:hAnsi="Arial" w:cs="Arial"/>
                <w:sz w:val="20"/>
                <w:szCs w:val="24"/>
              </w:rPr>
              <w:t>Evaluate the correctness of frequently confused words in written and oral work.</w:t>
            </w:r>
          </w:p>
          <w:p w14:paraId="043B9D27" w14:textId="354DB086" w:rsidR="003C0ECA" w:rsidRPr="003C0ECA" w:rsidRDefault="003C0ECA" w:rsidP="00FA6968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C0ECA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Correctly use frequently confused words (e.g., </w:t>
            </w:r>
            <w:r w:rsidRPr="003C0ECA"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to, too, two; there, their</w:t>
            </w:r>
            <w:r>
              <w:rPr>
                <w:rFonts w:ascii="Arial" w:eastAsia="Times New Roman" w:hAnsi="Arial" w:cs="Times-Roman"/>
                <w:color w:val="000000"/>
                <w:sz w:val="20"/>
                <w:szCs w:val="24"/>
                <w:lang w:bidi="en-US"/>
              </w:rPr>
              <w:t>; affect, effect</w:t>
            </w:r>
            <w:r w:rsidR="00AC4732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).</w:t>
            </w:r>
          </w:p>
          <w:p w14:paraId="7F814609" w14:textId="7FA5DD32" w:rsidR="003C0ECA" w:rsidRPr="003C0ECA" w:rsidRDefault="003C0ECA" w:rsidP="003C0ECA">
            <w:pPr>
              <w:pStyle w:val="ListParagraph"/>
              <w:spacing w:after="0" w:line="240" w:lineRule="auto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392" w:type="dxa"/>
          </w:tcPr>
          <w:p w14:paraId="6088AA9B" w14:textId="3E3EFB70" w:rsidR="004361F3" w:rsidRPr="00C773B0" w:rsidRDefault="00C773B0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336D7469" w14:textId="77777777" w:rsidR="004361F3" w:rsidRPr="001E0887" w:rsidRDefault="004361F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adverb</w:t>
            </w:r>
          </w:p>
          <w:p w14:paraId="0917BF88" w14:textId="54FE71BB" w:rsidR="004361F3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abstract </w:t>
            </w:r>
            <w:r w:rsidR="004361F3">
              <w:rPr>
                <w:rFonts w:ascii="Arial" w:hAnsi="Arial" w:cs="Arial"/>
                <w:sz w:val="20"/>
                <w:szCs w:val="20"/>
              </w:rPr>
              <w:t>noun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29EFB88B" w14:textId="77777777" w:rsidR="00991A32" w:rsidRDefault="00991A3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adjectives</w:t>
            </w:r>
          </w:p>
          <w:p w14:paraId="003211C6" w14:textId="77777777" w:rsidR="00991A32" w:rsidRDefault="00991A3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fragments</w:t>
            </w:r>
          </w:p>
          <w:p w14:paraId="0EB6D7A2" w14:textId="77777777" w:rsidR="00991A32" w:rsidRDefault="00991A3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run-ons</w:t>
            </w:r>
          </w:p>
          <w:p w14:paraId="405E07BF" w14:textId="7EC32712" w:rsid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simple verb tenses</w:t>
            </w:r>
          </w:p>
          <w:p w14:paraId="1FBECCA9" w14:textId="0236061A" w:rsid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subject-verb and pronoun-antecedent agreement</w:t>
            </w:r>
          </w:p>
          <w:p w14:paraId="6D94B2C3" w14:textId="3694B058" w:rsid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comparative and superlative adjectives and adverbs</w:t>
            </w:r>
          </w:p>
          <w:p w14:paraId="013DEDAC" w14:textId="20FBF976" w:rsid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coordinating and subordinating conjunctions</w:t>
            </w:r>
          </w:p>
          <w:p w14:paraId="7E87F2A7" w14:textId="77777777" w:rsid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3F78AC" w14:textId="77777777" w:rsidR="00C773B0" w:rsidRDefault="00C773B0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156FFE5A" w14:textId="77777777" w:rsid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relative pronouns</w:t>
            </w:r>
          </w:p>
          <w:p w14:paraId="1FE3AEDA" w14:textId="77777777" w:rsid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relative adverbs</w:t>
            </w:r>
          </w:p>
          <w:p w14:paraId="3F970A89" w14:textId="77777777" w:rsid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73B0">
              <w:rPr>
                <w:rFonts w:ascii="Arial" w:hAnsi="Arial" w:cs="Arial"/>
                <w:sz w:val="20"/>
                <w:szCs w:val="20"/>
              </w:rPr>
              <w:t>progressive verb tense</w:t>
            </w:r>
          </w:p>
          <w:p w14:paraId="579E043E" w14:textId="77777777" w:rsid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73B0">
              <w:rPr>
                <w:rFonts w:ascii="Arial" w:hAnsi="Arial" w:cs="Arial"/>
                <w:sz w:val="20"/>
                <w:szCs w:val="20"/>
              </w:rPr>
              <w:t>modal of auxiliaries</w:t>
            </w:r>
          </w:p>
          <w:p w14:paraId="791E664D" w14:textId="77777777" w:rsid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73B0">
              <w:rPr>
                <w:rFonts w:ascii="Arial" w:hAnsi="Arial" w:cs="Arial"/>
                <w:sz w:val="20"/>
                <w:szCs w:val="20"/>
              </w:rPr>
              <w:t>prepositional phrases</w:t>
            </w:r>
          </w:p>
          <w:p w14:paraId="4CBE6E78" w14:textId="77777777" w:rsidR="00C773B0" w:rsidRPr="00C773B0" w:rsidRDefault="00C773B0" w:rsidP="00C773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73B0">
              <w:rPr>
                <w:rFonts w:ascii="Arial" w:hAnsi="Arial" w:cs="Arial"/>
                <w:sz w:val="20"/>
                <w:szCs w:val="20"/>
              </w:rPr>
              <w:t>fragments</w:t>
            </w:r>
          </w:p>
          <w:p w14:paraId="4863E0A1" w14:textId="40A0D8D8" w:rsidR="00C773B0" w:rsidRDefault="00C773B0" w:rsidP="00C773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73B0">
              <w:rPr>
                <w:rFonts w:ascii="Arial" w:hAnsi="Arial" w:cs="Arial"/>
                <w:sz w:val="20"/>
                <w:szCs w:val="20"/>
              </w:rPr>
              <w:t>run-ons</w:t>
            </w:r>
          </w:p>
          <w:p w14:paraId="0DAB1316" w14:textId="77777777" w:rsidR="00C773B0" w:rsidRPr="00C773B0" w:rsidRDefault="00C773B0" w:rsidP="00C773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73B0">
              <w:rPr>
                <w:rFonts w:ascii="Arial" w:hAnsi="Arial" w:cs="Arial"/>
                <w:sz w:val="20"/>
                <w:szCs w:val="20"/>
              </w:rPr>
              <w:t>homophones*</w:t>
            </w:r>
          </w:p>
          <w:p w14:paraId="7707E9FD" w14:textId="77777777" w:rsidR="00C773B0" w:rsidRPr="00C773B0" w:rsidRDefault="00C773B0" w:rsidP="00C773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F4E29A" w14:textId="05A87531" w:rsidR="00C773B0" w:rsidRDefault="00C773B0" w:rsidP="00C773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73B0">
              <w:rPr>
                <w:rFonts w:ascii="Arial" w:hAnsi="Arial" w:cs="Arial"/>
                <w:sz w:val="20"/>
                <w:szCs w:val="20"/>
              </w:rPr>
              <w:t>*might choose to teach this term to expand the content (4.L.1g)</w:t>
            </w:r>
          </w:p>
          <w:p w14:paraId="1D68C514" w14:textId="665F8280" w:rsidR="00C773B0" w:rsidRPr="00C773B0" w:rsidRDefault="00C773B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44F5B2D0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52A"/>
    <w:multiLevelType w:val="hybridMultilevel"/>
    <w:tmpl w:val="2348C2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74769"/>
    <w:multiLevelType w:val="hybridMultilevel"/>
    <w:tmpl w:val="96A81C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00336"/>
    <w:multiLevelType w:val="hybridMultilevel"/>
    <w:tmpl w:val="2D6ABC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8730A"/>
    <w:multiLevelType w:val="hybridMultilevel"/>
    <w:tmpl w:val="3782E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623A87"/>
    <w:multiLevelType w:val="hybridMultilevel"/>
    <w:tmpl w:val="F5A68E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240C5E"/>
    <w:multiLevelType w:val="hybridMultilevel"/>
    <w:tmpl w:val="34B463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783883"/>
    <w:multiLevelType w:val="hybridMultilevel"/>
    <w:tmpl w:val="4F6A1F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B866B2"/>
    <w:multiLevelType w:val="hybridMultilevel"/>
    <w:tmpl w:val="29C84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F1D6C"/>
    <w:multiLevelType w:val="hybridMultilevel"/>
    <w:tmpl w:val="0366B1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F2360"/>
    <w:multiLevelType w:val="hybridMultilevel"/>
    <w:tmpl w:val="88D612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2F1D45"/>
    <w:multiLevelType w:val="hybridMultilevel"/>
    <w:tmpl w:val="1E8AE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734872"/>
    <w:multiLevelType w:val="hybridMultilevel"/>
    <w:tmpl w:val="D8E2D5F8"/>
    <w:lvl w:ilvl="0" w:tplc="410E3A52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A5DA9"/>
    <w:multiLevelType w:val="hybridMultilevel"/>
    <w:tmpl w:val="C33EAB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41A44"/>
    <w:multiLevelType w:val="hybridMultilevel"/>
    <w:tmpl w:val="A3AEE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A17EA3"/>
    <w:multiLevelType w:val="hybridMultilevel"/>
    <w:tmpl w:val="FC4EC9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FA631F"/>
    <w:multiLevelType w:val="hybridMultilevel"/>
    <w:tmpl w:val="EE5E4B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F759D"/>
    <w:multiLevelType w:val="hybridMultilevel"/>
    <w:tmpl w:val="C43CB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6B1DA1"/>
    <w:multiLevelType w:val="hybridMultilevel"/>
    <w:tmpl w:val="B17E9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6F2ABF"/>
    <w:multiLevelType w:val="hybridMultilevel"/>
    <w:tmpl w:val="49269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913C2E"/>
    <w:multiLevelType w:val="hybridMultilevel"/>
    <w:tmpl w:val="D56C41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3"/>
  </w:num>
  <w:num w:numId="4">
    <w:abstractNumId w:val="0"/>
  </w:num>
  <w:num w:numId="5">
    <w:abstractNumId w:val="8"/>
  </w:num>
  <w:num w:numId="6">
    <w:abstractNumId w:val="16"/>
  </w:num>
  <w:num w:numId="7">
    <w:abstractNumId w:val="12"/>
  </w:num>
  <w:num w:numId="8">
    <w:abstractNumId w:val="2"/>
  </w:num>
  <w:num w:numId="9">
    <w:abstractNumId w:val="18"/>
  </w:num>
  <w:num w:numId="10">
    <w:abstractNumId w:val="15"/>
  </w:num>
  <w:num w:numId="11">
    <w:abstractNumId w:val="19"/>
  </w:num>
  <w:num w:numId="12">
    <w:abstractNumId w:val="7"/>
  </w:num>
  <w:num w:numId="13">
    <w:abstractNumId w:val="21"/>
  </w:num>
  <w:num w:numId="14">
    <w:abstractNumId w:val="3"/>
  </w:num>
  <w:num w:numId="15">
    <w:abstractNumId w:val="5"/>
  </w:num>
  <w:num w:numId="16">
    <w:abstractNumId w:val="9"/>
  </w:num>
  <w:num w:numId="17">
    <w:abstractNumId w:val="14"/>
  </w:num>
  <w:num w:numId="18">
    <w:abstractNumId w:val="1"/>
  </w:num>
  <w:num w:numId="19">
    <w:abstractNumId w:val="6"/>
  </w:num>
  <w:num w:numId="20">
    <w:abstractNumId w:val="4"/>
  </w:num>
  <w:num w:numId="21">
    <w:abstractNumId w:val="1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33C74"/>
    <w:rsid w:val="000D72FA"/>
    <w:rsid w:val="001B76CB"/>
    <w:rsid w:val="001E0887"/>
    <w:rsid w:val="002F68B3"/>
    <w:rsid w:val="00304005"/>
    <w:rsid w:val="0039278B"/>
    <w:rsid w:val="003A5EBD"/>
    <w:rsid w:val="003C0ECA"/>
    <w:rsid w:val="004361F3"/>
    <w:rsid w:val="006E050B"/>
    <w:rsid w:val="007276BB"/>
    <w:rsid w:val="008A7DE2"/>
    <w:rsid w:val="00991A32"/>
    <w:rsid w:val="00AC4732"/>
    <w:rsid w:val="00B3549D"/>
    <w:rsid w:val="00B73DFC"/>
    <w:rsid w:val="00C05704"/>
    <w:rsid w:val="00C773B0"/>
    <w:rsid w:val="00C974F2"/>
    <w:rsid w:val="00F212BC"/>
    <w:rsid w:val="00FA69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4361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436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2012-06-08T16:56:00Z</dcterms:created>
  <dcterms:modified xsi:type="dcterms:W3CDTF">2012-08-04T18:23:00Z</dcterms:modified>
</cp:coreProperties>
</file>