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229F6" w14:textId="3589C7F3" w:rsidR="003A5EBD" w:rsidRDefault="003A5EBD" w:rsidP="003A5EBD">
      <w:pPr>
        <w:spacing w:after="0" w:line="240" w:lineRule="auto"/>
        <w:jc w:val="center"/>
        <w:rPr>
          <w:rFonts w:ascii="Lucida Calligraphy" w:hAnsi="Lucida Calligraphy"/>
          <w:b/>
          <w:i/>
          <w:color w:val="FF0000"/>
        </w:rPr>
      </w:pPr>
      <w:proofErr w:type="spellStart"/>
      <w:r w:rsidRPr="003A5EBD">
        <w:rPr>
          <w:rFonts w:ascii="Lucida Calligraphy" w:hAnsi="Lucida Calligraphy"/>
          <w:b/>
          <w:i/>
          <w:color w:val="FF0000"/>
        </w:rPr>
        <w:t>SandHills</w:t>
      </w:r>
      <w:proofErr w:type="spellEnd"/>
      <w:r w:rsidRPr="003A5EBD">
        <w:rPr>
          <w:rFonts w:ascii="Lucida Calligraphy" w:hAnsi="Lucida Calligraphy"/>
          <w:b/>
          <w:i/>
          <w:color w:val="FF0000"/>
        </w:rPr>
        <w:t xml:space="preserve"> Regional Education Consortium</w:t>
      </w:r>
    </w:p>
    <w:p w14:paraId="1646FFA0" w14:textId="6FDBF333" w:rsidR="003A5EBD" w:rsidRDefault="003A5EBD" w:rsidP="003A5EBD">
      <w:pPr>
        <w:spacing w:after="0" w:line="240" w:lineRule="auto"/>
        <w:jc w:val="center"/>
        <w:rPr>
          <w:rFonts w:ascii="Lucida Calligraphy" w:hAnsi="Lucida Calligraphy"/>
          <w:b/>
          <w:i/>
          <w:color w:val="FF0000"/>
        </w:rPr>
      </w:pPr>
      <w:r w:rsidRPr="00906298">
        <w:rPr>
          <w:noProof/>
        </w:rPr>
        <w:drawing>
          <wp:inline distT="0" distB="0" distL="0" distR="0" wp14:anchorId="640DE8E1" wp14:editId="04ABFB99">
            <wp:extent cx="1333500" cy="565150"/>
            <wp:effectExtent l="19050" t="0" r="0" b="0"/>
            <wp:docPr id="1" name="Picture 1" descr="N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 Logo"/>
                    <pic:cNvPicPr>
                      <a:picLocks noChangeAspect="1" noChangeArrowheads="1"/>
                    </pic:cNvPicPr>
                  </pic:nvPicPr>
                  <pic:blipFill>
                    <a:blip r:embed="rId6" cstate="print"/>
                    <a:srcRect/>
                    <a:stretch>
                      <a:fillRect/>
                    </a:stretch>
                  </pic:blipFill>
                  <pic:spPr bwMode="auto">
                    <a:xfrm>
                      <a:off x="0" y="0"/>
                      <a:ext cx="1333500" cy="565150"/>
                    </a:xfrm>
                    <a:prstGeom prst="rect">
                      <a:avLst/>
                    </a:prstGeom>
                    <a:noFill/>
                    <a:ln w="9525">
                      <a:noFill/>
                      <a:miter lim="800000"/>
                      <a:headEnd/>
                      <a:tailEnd/>
                    </a:ln>
                  </pic:spPr>
                </pic:pic>
              </a:graphicData>
            </a:graphic>
          </wp:inline>
        </w:drawing>
      </w:r>
    </w:p>
    <w:p w14:paraId="54DFD9B9" w14:textId="77777777" w:rsidR="003A5EBD" w:rsidRPr="003A5EBD" w:rsidRDefault="003A5EBD" w:rsidP="003A5EBD">
      <w:pPr>
        <w:spacing w:after="0" w:line="240" w:lineRule="auto"/>
        <w:jc w:val="center"/>
        <w:rPr>
          <w:rFonts w:ascii="Lucida Calligraphy" w:hAnsi="Lucida Calligraphy"/>
          <w:b/>
          <w:i/>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2"/>
        <w:gridCol w:w="4392"/>
        <w:gridCol w:w="4392"/>
      </w:tblGrid>
      <w:tr w:rsidR="003A5EBD" w:rsidRPr="00225804" w14:paraId="2AEB3D0E" w14:textId="77777777" w:rsidTr="003A5EBD">
        <w:trPr>
          <w:jc w:val="center"/>
        </w:trPr>
        <w:tc>
          <w:tcPr>
            <w:tcW w:w="4392" w:type="dxa"/>
          </w:tcPr>
          <w:p w14:paraId="42FBD2F6" w14:textId="77777777" w:rsidR="00C05704" w:rsidRDefault="00C05704" w:rsidP="00BF2D93">
            <w:pPr>
              <w:spacing w:after="0" w:line="240" w:lineRule="auto"/>
              <w:rPr>
                <w:rFonts w:ascii="Arial" w:hAnsi="Arial" w:cs="Arial"/>
                <w:b/>
                <w:sz w:val="20"/>
                <w:szCs w:val="20"/>
              </w:rPr>
            </w:pPr>
            <w:r>
              <w:rPr>
                <w:rFonts w:ascii="Arial" w:hAnsi="Arial" w:cs="Arial"/>
                <w:b/>
                <w:sz w:val="20"/>
                <w:szCs w:val="20"/>
              </w:rPr>
              <w:t>Strand:</w:t>
            </w:r>
          </w:p>
          <w:p w14:paraId="0FA5422F" w14:textId="62BFF6F0" w:rsidR="00C05704" w:rsidRPr="00C05704" w:rsidRDefault="00CA7499" w:rsidP="00BF2D93">
            <w:pPr>
              <w:spacing w:after="0" w:line="240" w:lineRule="auto"/>
              <w:rPr>
                <w:rFonts w:ascii="Arial" w:hAnsi="Arial" w:cs="Arial"/>
                <w:sz w:val="20"/>
                <w:szCs w:val="20"/>
              </w:rPr>
            </w:pPr>
            <w:r>
              <w:rPr>
                <w:rFonts w:ascii="Arial" w:hAnsi="Arial" w:cs="Arial"/>
                <w:sz w:val="20"/>
                <w:szCs w:val="20"/>
              </w:rPr>
              <w:t>Reading – Informational Text</w:t>
            </w:r>
          </w:p>
          <w:p w14:paraId="5BECBFC6" w14:textId="77777777" w:rsidR="003A5EBD" w:rsidRPr="001E0887" w:rsidRDefault="003A5EBD" w:rsidP="00BF2D93">
            <w:pPr>
              <w:spacing w:after="0" w:line="240" w:lineRule="auto"/>
              <w:rPr>
                <w:rFonts w:ascii="Arial" w:hAnsi="Arial" w:cs="Arial"/>
                <w:sz w:val="20"/>
                <w:szCs w:val="20"/>
              </w:rPr>
            </w:pPr>
            <w:r w:rsidRPr="001E0887">
              <w:rPr>
                <w:rFonts w:ascii="Arial" w:hAnsi="Arial" w:cs="Arial"/>
                <w:b/>
                <w:sz w:val="20"/>
                <w:szCs w:val="20"/>
              </w:rPr>
              <w:t>Domain</w:t>
            </w:r>
            <w:r w:rsidRPr="001E0887">
              <w:rPr>
                <w:rFonts w:ascii="Arial" w:hAnsi="Arial" w:cs="Arial"/>
                <w:sz w:val="20"/>
                <w:szCs w:val="20"/>
              </w:rPr>
              <w:t xml:space="preserve">:   </w:t>
            </w:r>
          </w:p>
          <w:p w14:paraId="2485E879" w14:textId="797133BE" w:rsidR="003A5EBD" w:rsidRPr="001E0887" w:rsidRDefault="00CA7499" w:rsidP="00BF2D93">
            <w:pPr>
              <w:spacing w:after="0" w:line="240" w:lineRule="auto"/>
              <w:rPr>
                <w:rFonts w:ascii="Arial" w:hAnsi="Arial" w:cs="Arial"/>
                <w:sz w:val="20"/>
                <w:szCs w:val="20"/>
              </w:rPr>
            </w:pPr>
            <w:r>
              <w:rPr>
                <w:rFonts w:ascii="Arial" w:hAnsi="Arial" w:cs="Arial"/>
                <w:sz w:val="20"/>
                <w:szCs w:val="20"/>
              </w:rPr>
              <w:t>Integration of Knowledge and Ideas</w:t>
            </w:r>
          </w:p>
        </w:tc>
        <w:tc>
          <w:tcPr>
            <w:tcW w:w="4392" w:type="dxa"/>
          </w:tcPr>
          <w:p w14:paraId="40341FC2" w14:textId="2548F3B9" w:rsidR="003A5EBD" w:rsidRPr="001E0887" w:rsidRDefault="002F68B3" w:rsidP="00BF2D93">
            <w:pPr>
              <w:spacing w:after="0" w:line="240" w:lineRule="auto"/>
              <w:rPr>
                <w:rFonts w:ascii="Arial" w:hAnsi="Arial" w:cs="Arial"/>
                <w:sz w:val="20"/>
                <w:szCs w:val="20"/>
              </w:rPr>
            </w:pPr>
            <w:r>
              <w:rPr>
                <w:rFonts w:ascii="Arial" w:hAnsi="Arial" w:cs="Arial"/>
                <w:b/>
                <w:sz w:val="20"/>
                <w:szCs w:val="20"/>
              </w:rPr>
              <w:t>Mathematical Practice(s)</w:t>
            </w:r>
            <w:r w:rsidR="003A5EBD" w:rsidRPr="001E0887">
              <w:rPr>
                <w:rFonts w:ascii="Arial" w:hAnsi="Arial" w:cs="Arial"/>
                <w:sz w:val="20"/>
                <w:szCs w:val="20"/>
              </w:rPr>
              <w:t>:</w:t>
            </w:r>
          </w:p>
        </w:tc>
        <w:tc>
          <w:tcPr>
            <w:tcW w:w="4392" w:type="dxa"/>
          </w:tcPr>
          <w:p w14:paraId="2AB318FD" w14:textId="22AEA6E9" w:rsidR="003A5EBD" w:rsidRPr="001E0887" w:rsidRDefault="001B76CB" w:rsidP="00BF2D93">
            <w:pPr>
              <w:spacing w:after="0" w:line="240" w:lineRule="auto"/>
              <w:rPr>
                <w:rFonts w:ascii="Arial" w:hAnsi="Arial" w:cs="Arial"/>
                <w:sz w:val="20"/>
                <w:szCs w:val="20"/>
              </w:rPr>
            </w:pPr>
            <w:r>
              <w:rPr>
                <w:rFonts w:ascii="Arial" w:hAnsi="Arial" w:cs="Arial"/>
                <w:b/>
                <w:sz w:val="20"/>
                <w:szCs w:val="20"/>
              </w:rPr>
              <w:t>Level of Thinking</w:t>
            </w:r>
            <w:r w:rsidR="003A5EBD" w:rsidRPr="001E0887">
              <w:rPr>
                <w:rFonts w:ascii="Arial" w:hAnsi="Arial" w:cs="Arial"/>
                <w:sz w:val="20"/>
                <w:szCs w:val="20"/>
              </w:rPr>
              <w:t>:</w:t>
            </w:r>
          </w:p>
          <w:p w14:paraId="33D26EA3" w14:textId="4CEF9ADA" w:rsidR="003A5EBD" w:rsidRPr="006053AF" w:rsidRDefault="00BF164F" w:rsidP="00BF2D93">
            <w:pPr>
              <w:spacing w:after="0" w:line="240" w:lineRule="auto"/>
              <w:rPr>
                <w:rFonts w:ascii="Arial" w:hAnsi="Arial" w:cs="Arial"/>
                <w:sz w:val="20"/>
                <w:szCs w:val="20"/>
              </w:rPr>
            </w:pPr>
            <w:r>
              <w:rPr>
                <w:rFonts w:ascii="Arial" w:hAnsi="Arial" w:cs="Arial"/>
                <w:sz w:val="20"/>
                <w:szCs w:val="20"/>
              </w:rPr>
              <w:t>Analyzing</w:t>
            </w:r>
          </w:p>
        </w:tc>
      </w:tr>
      <w:tr w:rsidR="003A5EBD" w:rsidRPr="00B02E41" w14:paraId="080CD2DF" w14:textId="77777777" w:rsidTr="003A5EBD">
        <w:trPr>
          <w:trHeight w:val="899"/>
          <w:jc w:val="center"/>
        </w:trPr>
        <w:tc>
          <w:tcPr>
            <w:tcW w:w="13176" w:type="dxa"/>
            <w:gridSpan w:val="3"/>
          </w:tcPr>
          <w:p w14:paraId="06DB0912" w14:textId="77777777" w:rsidR="003A5EBD" w:rsidRDefault="003A5EBD" w:rsidP="00BF2D93">
            <w:pPr>
              <w:spacing w:after="0" w:line="240" w:lineRule="auto"/>
              <w:rPr>
                <w:rFonts w:ascii="Arial" w:hAnsi="Arial" w:cs="Arial"/>
                <w:sz w:val="20"/>
                <w:szCs w:val="20"/>
              </w:rPr>
            </w:pPr>
            <w:r w:rsidRPr="001E0887">
              <w:rPr>
                <w:rFonts w:ascii="Arial" w:hAnsi="Arial" w:cs="Arial"/>
                <w:b/>
                <w:sz w:val="20"/>
                <w:szCs w:val="20"/>
              </w:rPr>
              <w:t>Anchor Standard</w:t>
            </w:r>
            <w:r w:rsidRPr="001E0887">
              <w:rPr>
                <w:rFonts w:ascii="Arial" w:hAnsi="Arial" w:cs="Arial"/>
                <w:sz w:val="20"/>
                <w:szCs w:val="20"/>
              </w:rPr>
              <w:t>:</w:t>
            </w:r>
          </w:p>
          <w:p w14:paraId="1D9213C3" w14:textId="7BE669CA" w:rsidR="00CA7499" w:rsidRPr="001E0887" w:rsidRDefault="00CA7499" w:rsidP="00BF2D93">
            <w:pPr>
              <w:spacing w:after="0" w:line="240" w:lineRule="auto"/>
              <w:rPr>
                <w:rFonts w:ascii="Arial" w:hAnsi="Arial" w:cs="Arial"/>
                <w:sz w:val="20"/>
                <w:szCs w:val="20"/>
              </w:rPr>
            </w:pPr>
            <w:r w:rsidRPr="00CA7499">
              <w:rPr>
                <w:rFonts w:ascii="Arial" w:hAnsi="Arial" w:cs="Arial"/>
                <w:sz w:val="20"/>
                <w:szCs w:val="20"/>
              </w:rPr>
              <w:t>Integrate and evaluate content presented in diverse media and formats, including visually and quantitatively, as well as in words.</w:t>
            </w:r>
          </w:p>
        </w:tc>
      </w:tr>
      <w:tr w:rsidR="003A5EBD" w:rsidRPr="00B02E41" w14:paraId="677DC30A" w14:textId="77777777" w:rsidTr="003A5EBD">
        <w:trPr>
          <w:jc w:val="center"/>
        </w:trPr>
        <w:tc>
          <w:tcPr>
            <w:tcW w:w="13176" w:type="dxa"/>
            <w:gridSpan w:val="3"/>
          </w:tcPr>
          <w:p w14:paraId="6F025CDF" w14:textId="77777777" w:rsidR="003A5EBD" w:rsidRPr="001E0887"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olor w:val="000000"/>
                <w:sz w:val="20"/>
                <w:szCs w:val="20"/>
              </w:rPr>
            </w:pPr>
            <w:r w:rsidRPr="001E0887">
              <w:rPr>
                <w:rFonts w:ascii="Arial" w:hAnsi="Arial" w:cs="Arial"/>
                <w:b/>
                <w:sz w:val="20"/>
                <w:szCs w:val="20"/>
              </w:rPr>
              <w:t>Grade Specific Standard</w:t>
            </w:r>
            <w:r w:rsidRPr="001E0887">
              <w:rPr>
                <w:rFonts w:ascii="Arial" w:hAnsi="Arial" w:cs="Arial"/>
                <w:sz w:val="20"/>
                <w:szCs w:val="20"/>
              </w:rPr>
              <w:t xml:space="preserve">: </w:t>
            </w:r>
          </w:p>
          <w:p w14:paraId="48B1C921" w14:textId="4A27572B" w:rsidR="003A5EBD" w:rsidRPr="001E0887" w:rsidRDefault="00CA7499"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olor w:val="000000"/>
                <w:sz w:val="20"/>
                <w:szCs w:val="20"/>
              </w:rPr>
            </w:pPr>
            <w:r>
              <w:rPr>
                <w:rFonts w:ascii="Arial" w:hAnsi="Arial"/>
                <w:color w:val="000000"/>
                <w:sz w:val="20"/>
                <w:szCs w:val="20"/>
              </w:rPr>
              <w:t xml:space="preserve">RI.4.7 </w:t>
            </w:r>
            <w:r w:rsidRPr="00CA7499">
              <w:rPr>
                <w:rFonts w:ascii="Arial" w:hAnsi="Arial"/>
                <w:color w:val="000000"/>
                <w:sz w:val="20"/>
                <w:szCs w:val="20"/>
              </w:rPr>
              <w:t>Interpret information presented visually, orally, or quantitatively (e.g., in charts, graphs, diagrams, time lines, animations, or interactive elements on Web pages) and explain how the information contributes to an understanding of the text in which it appears.</w:t>
            </w:r>
          </w:p>
        </w:tc>
      </w:tr>
      <w:tr w:rsidR="003A5EBD" w:rsidRPr="00B02E41" w14:paraId="56AA4A6E" w14:textId="77777777" w:rsidTr="003A5EBD">
        <w:trPr>
          <w:jc w:val="center"/>
        </w:trPr>
        <w:tc>
          <w:tcPr>
            <w:tcW w:w="13176" w:type="dxa"/>
            <w:gridSpan w:val="3"/>
          </w:tcPr>
          <w:p w14:paraId="5EB03E7B" w14:textId="77777777" w:rsidR="003A5EBD" w:rsidRPr="001E0887"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0887">
              <w:rPr>
                <w:rFonts w:ascii="Arial" w:hAnsi="Arial" w:cs="Arial"/>
                <w:b/>
                <w:sz w:val="20"/>
                <w:szCs w:val="20"/>
              </w:rPr>
              <w:t>Information Technology Standard</w:t>
            </w:r>
            <w:r w:rsidRPr="001E0887">
              <w:rPr>
                <w:rFonts w:ascii="Arial" w:hAnsi="Arial" w:cs="Arial"/>
                <w:sz w:val="20"/>
                <w:szCs w:val="20"/>
              </w:rPr>
              <w:t>:</w:t>
            </w:r>
          </w:p>
          <w:p w14:paraId="046750CE" w14:textId="77777777" w:rsidR="002E25D8" w:rsidRP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4.SI.1.1</w:t>
            </w:r>
          </w:p>
          <w:p w14:paraId="0A93A563" w14:textId="77777777" w:rsidR="002E25D8" w:rsidRP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Use various types of resources to gather information (including print and online media).</w:t>
            </w:r>
          </w:p>
          <w:p w14:paraId="5D3C836E" w14:textId="77777777" w:rsidR="002E25D8" w:rsidRP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4.SI.1.2</w:t>
            </w:r>
          </w:p>
          <w:p w14:paraId="7106BF79" w14:textId="77777777" w:rsidR="003A5EBD"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Use relevant sources of information for an assigned task.</w:t>
            </w:r>
          </w:p>
          <w:p w14:paraId="35873DEB" w14:textId="77777777" w:rsidR="002E25D8" w:rsidRP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4.SI.1.3</w:t>
            </w:r>
          </w:p>
          <w:p w14:paraId="1EDABB2C" w14:textId="77777777" w:rsid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Use reliable sources of information.</w:t>
            </w:r>
          </w:p>
          <w:p w14:paraId="11284C9D" w14:textId="77777777" w:rsidR="002E25D8" w:rsidRP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4.TT.1.2</w:t>
            </w:r>
          </w:p>
          <w:p w14:paraId="47908FA3" w14:textId="77777777" w:rsid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Use a variety of technology tools to organize data and information (e.g., word processor, graphic organizer, audio and visual recording, online collaboration tools, etc.).</w:t>
            </w:r>
          </w:p>
          <w:p w14:paraId="0DB9FCD6" w14:textId="77777777" w:rsidR="002E25D8" w:rsidRPr="002E25D8"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4.TT.1.3</w:t>
            </w:r>
          </w:p>
          <w:p w14:paraId="2A59EB72" w14:textId="33254AB3" w:rsidR="002E25D8" w:rsidRPr="001E0887" w:rsidRDefault="002E25D8" w:rsidP="002E2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25D8">
              <w:rPr>
                <w:rFonts w:ascii="Arial" w:hAnsi="Arial" w:cs="Arial"/>
                <w:sz w:val="20"/>
                <w:szCs w:val="20"/>
              </w:rPr>
              <w:t>Use technology tools to present data and information (multimedia, audio and visual recording, online collaboration tools, etc.).</w:t>
            </w:r>
          </w:p>
        </w:tc>
      </w:tr>
      <w:tr w:rsidR="003A5EBD" w:rsidRPr="007E4F36" w14:paraId="78029087" w14:textId="77777777" w:rsidTr="003A5EBD">
        <w:trPr>
          <w:jc w:val="center"/>
        </w:trPr>
        <w:tc>
          <w:tcPr>
            <w:tcW w:w="13176" w:type="dxa"/>
            <w:gridSpan w:val="3"/>
          </w:tcPr>
          <w:p w14:paraId="5DF64BE1" w14:textId="77777777" w:rsidR="003A5EBD" w:rsidRDefault="003A5EBD" w:rsidP="00BF2D93">
            <w:pPr>
              <w:spacing w:after="0" w:line="240" w:lineRule="auto"/>
              <w:rPr>
                <w:rFonts w:ascii="Arial" w:hAnsi="Arial" w:cs="Arial"/>
                <w:sz w:val="20"/>
                <w:szCs w:val="20"/>
              </w:rPr>
            </w:pPr>
            <w:r w:rsidRPr="001E0887">
              <w:rPr>
                <w:rFonts w:ascii="Arial" w:hAnsi="Arial" w:cs="Arial"/>
                <w:b/>
                <w:sz w:val="20"/>
                <w:szCs w:val="20"/>
              </w:rPr>
              <w:t>Clarifying Objectives</w:t>
            </w:r>
            <w:r w:rsidRPr="001E0887">
              <w:rPr>
                <w:rFonts w:ascii="Arial" w:hAnsi="Arial" w:cs="Arial"/>
                <w:sz w:val="20"/>
                <w:szCs w:val="20"/>
              </w:rPr>
              <w:t>:</w:t>
            </w:r>
          </w:p>
          <w:p w14:paraId="6247FB10" w14:textId="572169F0" w:rsidR="00CA7499" w:rsidRPr="001E0887" w:rsidRDefault="00CA7499" w:rsidP="00BF2D93">
            <w:pPr>
              <w:spacing w:after="0" w:line="240" w:lineRule="auto"/>
              <w:rPr>
                <w:rFonts w:ascii="Arial" w:hAnsi="Arial" w:cs="Arial"/>
                <w:sz w:val="20"/>
                <w:szCs w:val="20"/>
              </w:rPr>
            </w:pPr>
            <w:r>
              <w:rPr>
                <w:rFonts w:ascii="Arial" w:hAnsi="Arial" w:cs="Arial"/>
                <w:sz w:val="20"/>
                <w:szCs w:val="20"/>
              </w:rPr>
              <w:t>Explain how information contributes to the understanding of text when it is presented visually, orally, or quantitatively.</w:t>
            </w:r>
          </w:p>
          <w:p w14:paraId="4CC9E27C" w14:textId="77777777" w:rsidR="003A5EBD" w:rsidRPr="001E0887" w:rsidRDefault="003A5EBD" w:rsidP="00BF2D93">
            <w:pPr>
              <w:spacing w:after="0" w:line="240" w:lineRule="auto"/>
              <w:ind w:left="2160"/>
              <w:rPr>
                <w:rFonts w:ascii="Arial" w:hAnsi="Arial"/>
                <w:color w:val="000000"/>
                <w:sz w:val="20"/>
                <w:szCs w:val="20"/>
              </w:rPr>
            </w:pPr>
          </w:p>
        </w:tc>
      </w:tr>
      <w:tr w:rsidR="003A5EBD" w:rsidRPr="00B02E41" w14:paraId="196F34AA" w14:textId="77777777" w:rsidTr="003A5EBD">
        <w:trPr>
          <w:jc w:val="center"/>
        </w:trPr>
        <w:tc>
          <w:tcPr>
            <w:tcW w:w="4392" w:type="dxa"/>
          </w:tcPr>
          <w:p w14:paraId="156F70F3" w14:textId="77777777" w:rsidR="003A5EBD" w:rsidRPr="001E0887" w:rsidRDefault="003A5EBD" w:rsidP="00BF2D93">
            <w:pPr>
              <w:spacing w:after="0" w:line="240" w:lineRule="auto"/>
              <w:rPr>
                <w:rFonts w:ascii="Arial" w:hAnsi="Arial" w:cs="Arial"/>
                <w:b/>
                <w:sz w:val="20"/>
                <w:szCs w:val="20"/>
              </w:rPr>
            </w:pPr>
            <w:r w:rsidRPr="001E0887">
              <w:rPr>
                <w:rFonts w:ascii="Arial" w:hAnsi="Arial" w:cs="Arial"/>
                <w:b/>
                <w:sz w:val="20"/>
                <w:szCs w:val="20"/>
              </w:rPr>
              <w:t>Task Analysis</w:t>
            </w:r>
          </w:p>
        </w:tc>
        <w:tc>
          <w:tcPr>
            <w:tcW w:w="4392" w:type="dxa"/>
          </w:tcPr>
          <w:p w14:paraId="6F4CCEF3" w14:textId="77777777" w:rsidR="003A5EBD" w:rsidRPr="001E0887" w:rsidRDefault="003A5EBD" w:rsidP="00BF2D93">
            <w:pPr>
              <w:spacing w:after="0" w:line="240" w:lineRule="auto"/>
              <w:jc w:val="center"/>
              <w:rPr>
                <w:rFonts w:ascii="Arial" w:hAnsi="Arial" w:cs="Arial"/>
                <w:b/>
                <w:sz w:val="20"/>
                <w:szCs w:val="20"/>
              </w:rPr>
            </w:pPr>
            <w:r w:rsidRPr="001E0887">
              <w:rPr>
                <w:rFonts w:ascii="Arial" w:hAnsi="Arial" w:cs="Arial"/>
                <w:b/>
                <w:sz w:val="20"/>
                <w:szCs w:val="20"/>
              </w:rPr>
              <w:t>Vocabulary</w:t>
            </w:r>
          </w:p>
        </w:tc>
        <w:tc>
          <w:tcPr>
            <w:tcW w:w="4392" w:type="dxa"/>
          </w:tcPr>
          <w:p w14:paraId="70AC34B7" w14:textId="1D5096BE" w:rsidR="003A5EBD" w:rsidRPr="001E0887" w:rsidRDefault="003A5EBD" w:rsidP="00BF2D93">
            <w:pPr>
              <w:spacing w:after="0" w:line="240" w:lineRule="auto"/>
              <w:jc w:val="center"/>
              <w:rPr>
                <w:rFonts w:ascii="Arial" w:hAnsi="Arial" w:cs="Arial"/>
                <w:b/>
                <w:sz w:val="20"/>
                <w:szCs w:val="20"/>
              </w:rPr>
            </w:pPr>
            <w:bookmarkStart w:id="0" w:name="_GoBack"/>
            <w:bookmarkEnd w:id="0"/>
          </w:p>
        </w:tc>
      </w:tr>
      <w:tr w:rsidR="003A5EBD" w:rsidRPr="00B02E41" w14:paraId="20CC111A" w14:textId="77777777" w:rsidTr="003A5EBD">
        <w:trPr>
          <w:trHeight w:val="2596"/>
          <w:jc w:val="center"/>
        </w:trPr>
        <w:tc>
          <w:tcPr>
            <w:tcW w:w="4392" w:type="dxa"/>
          </w:tcPr>
          <w:p w14:paraId="1650BC35" w14:textId="766D2D9B" w:rsidR="00CA7499" w:rsidRPr="00CA7499" w:rsidRDefault="00CA7499" w:rsidP="00CA7499">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Define </w:t>
            </w:r>
            <w:r w:rsidRPr="00CA7499">
              <w:rPr>
                <w:rFonts w:ascii="Arial" w:hAnsi="Arial"/>
                <w:color w:val="000000"/>
                <w:sz w:val="20"/>
                <w:szCs w:val="20"/>
              </w:rPr>
              <w:t>charts, graphs, diagrams, time lines, animations, or interactive elements on Web pages</w:t>
            </w:r>
            <w:r>
              <w:rPr>
                <w:rFonts w:ascii="Arial" w:hAnsi="Arial"/>
                <w:color w:val="000000"/>
                <w:sz w:val="20"/>
                <w:szCs w:val="20"/>
              </w:rPr>
              <w:t>.</w:t>
            </w:r>
          </w:p>
          <w:p w14:paraId="34D05363" w14:textId="0F597353" w:rsidR="00CA7499" w:rsidRPr="00CA7499" w:rsidRDefault="00CA7499" w:rsidP="00CA7499">
            <w:pPr>
              <w:pStyle w:val="ListParagraph"/>
              <w:numPr>
                <w:ilvl w:val="0"/>
                <w:numId w:val="3"/>
              </w:numPr>
              <w:spacing w:after="0" w:line="240" w:lineRule="auto"/>
              <w:rPr>
                <w:rFonts w:ascii="Arial" w:hAnsi="Arial" w:cs="Arial"/>
                <w:sz w:val="20"/>
                <w:szCs w:val="20"/>
              </w:rPr>
            </w:pPr>
            <w:r>
              <w:rPr>
                <w:rFonts w:ascii="Arial" w:hAnsi="Arial"/>
                <w:color w:val="000000"/>
                <w:sz w:val="20"/>
                <w:szCs w:val="20"/>
              </w:rPr>
              <w:t xml:space="preserve">Identify appropriate situations for using specific text features (e.g., </w:t>
            </w:r>
            <w:r w:rsidRPr="00CA7499">
              <w:rPr>
                <w:rFonts w:ascii="Arial" w:hAnsi="Arial"/>
                <w:color w:val="000000"/>
                <w:sz w:val="20"/>
                <w:szCs w:val="20"/>
              </w:rPr>
              <w:t>charts, graphs, diagrams, time lines, animations, or interactive elements on Web pages</w:t>
            </w:r>
            <w:r>
              <w:rPr>
                <w:rFonts w:ascii="Arial" w:hAnsi="Arial"/>
                <w:color w:val="000000"/>
                <w:sz w:val="20"/>
                <w:szCs w:val="20"/>
              </w:rPr>
              <w:t>).</w:t>
            </w:r>
          </w:p>
          <w:p w14:paraId="557B8E31" w14:textId="45D5C416" w:rsidR="00CA7499" w:rsidRDefault="00CA7499" w:rsidP="00CA7499">
            <w:pPr>
              <w:pStyle w:val="ListParagraph"/>
              <w:numPr>
                <w:ilvl w:val="0"/>
                <w:numId w:val="3"/>
              </w:numPr>
              <w:spacing w:after="0" w:line="240" w:lineRule="auto"/>
              <w:rPr>
                <w:rFonts w:ascii="Arial" w:hAnsi="Arial" w:cs="Arial"/>
                <w:sz w:val="20"/>
                <w:szCs w:val="20"/>
              </w:rPr>
            </w:pPr>
            <w:r>
              <w:rPr>
                <w:rFonts w:ascii="Arial" w:hAnsi="Arial"/>
                <w:color w:val="000000"/>
                <w:sz w:val="20"/>
                <w:szCs w:val="20"/>
              </w:rPr>
              <w:t xml:space="preserve">Interpret information found in </w:t>
            </w:r>
            <w:r w:rsidRPr="00CA7499">
              <w:rPr>
                <w:rFonts w:ascii="Arial" w:hAnsi="Arial"/>
                <w:color w:val="000000"/>
                <w:sz w:val="20"/>
                <w:szCs w:val="20"/>
              </w:rPr>
              <w:t>charts, graphs, diagrams, time lines, animations, or interactive elements on Web pages</w:t>
            </w:r>
            <w:r>
              <w:rPr>
                <w:rFonts w:ascii="Arial" w:hAnsi="Arial"/>
                <w:color w:val="000000"/>
                <w:sz w:val="20"/>
                <w:szCs w:val="20"/>
              </w:rPr>
              <w:t>.</w:t>
            </w:r>
          </w:p>
          <w:p w14:paraId="7F814609" w14:textId="3A7DF56C" w:rsidR="003A5EBD" w:rsidRPr="00CA7499" w:rsidRDefault="00CA7499" w:rsidP="00CA7499">
            <w:pPr>
              <w:pStyle w:val="ListParagraph"/>
              <w:numPr>
                <w:ilvl w:val="0"/>
                <w:numId w:val="3"/>
              </w:numPr>
              <w:spacing w:after="0" w:line="240" w:lineRule="auto"/>
              <w:rPr>
                <w:rFonts w:ascii="Arial" w:hAnsi="Arial" w:cs="Arial"/>
                <w:sz w:val="20"/>
                <w:szCs w:val="20"/>
              </w:rPr>
            </w:pPr>
            <w:r>
              <w:rPr>
                <w:rFonts w:ascii="Arial" w:hAnsi="Arial" w:cs="Arial"/>
                <w:sz w:val="20"/>
                <w:szCs w:val="20"/>
              </w:rPr>
              <w:lastRenderedPageBreak/>
              <w:t>Explain how information contributes to the understanding of text when it is presented visually, orally, or quantitatively</w:t>
            </w:r>
          </w:p>
        </w:tc>
        <w:tc>
          <w:tcPr>
            <w:tcW w:w="4392" w:type="dxa"/>
          </w:tcPr>
          <w:p w14:paraId="77D59960" w14:textId="7F298B4D" w:rsidR="00B061B3" w:rsidRDefault="00B061B3" w:rsidP="00B061B3">
            <w:pPr>
              <w:spacing w:after="0" w:line="240" w:lineRule="auto"/>
              <w:ind w:left="360"/>
              <w:rPr>
                <w:rFonts w:ascii="Arial" w:hAnsi="Arial"/>
                <w:b/>
                <w:color w:val="000000"/>
                <w:sz w:val="20"/>
                <w:szCs w:val="20"/>
              </w:rPr>
            </w:pPr>
            <w:r>
              <w:rPr>
                <w:rFonts w:ascii="Arial" w:hAnsi="Arial"/>
                <w:b/>
                <w:color w:val="000000"/>
                <w:sz w:val="20"/>
                <w:szCs w:val="20"/>
              </w:rPr>
              <w:lastRenderedPageBreak/>
              <w:t>Review</w:t>
            </w:r>
          </w:p>
          <w:p w14:paraId="6BB70020" w14:textId="0401687C" w:rsidR="00B061B3" w:rsidRDefault="00B061B3" w:rsidP="00B061B3">
            <w:pPr>
              <w:spacing w:after="0" w:line="240" w:lineRule="auto"/>
              <w:ind w:left="360"/>
              <w:rPr>
                <w:rFonts w:ascii="Arial" w:hAnsi="Arial"/>
                <w:color w:val="000000"/>
                <w:sz w:val="20"/>
                <w:szCs w:val="20"/>
              </w:rPr>
            </w:pPr>
            <w:r>
              <w:rPr>
                <w:rFonts w:ascii="Arial" w:hAnsi="Arial"/>
                <w:color w:val="000000"/>
                <w:sz w:val="20"/>
                <w:szCs w:val="20"/>
              </w:rPr>
              <w:t>key events</w:t>
            </w:r>
          </w:p>
          <w:p w14:paraId="4512038F" w14:textId="31C82B43" w:rsidR="00B061B3" w:rsidRDefault="00B061B3" w:rsidP="00B061B3">
            <w:pPr>
              <w:spacing w:after="0" w:line="240" w:lineRule="auto"/>
              <w:ind w:left="360"/>
              <w:rPr>
                <w:rFonts w:ascii="Arial" w:hAnsi="Arial"/>
                <w:color w:val="000000"/>
                <w:sz w:val="20"/>
                <w:szCs w:val="20"/>
              </w:rPr>
            </w:pPr>
            <w:r>
              <w:rPr>
                <w:rFonts w:ascii="Arial" w:hAnsi="Arial"/>
                <w:color w:val="000000"/>
                <w:sz w:val="20"/>
                <w:szCs w:val="20"/>
              </w:rPr>
              <w:t xml:space="preserve">maps </w:t>
            </w:r>
          </w:p>
          <w:p w14:paraId="6730723E" w14:textId="72981DBB" w:rsidR="00B061B3" w:rsidRPr="00B061B3" w:rsidRDefault="00B061B3" w:rsidP="00B061B3">
            <w:pPr>
              <w:spacing w:after="0" w:line="240" w:lineRule="auto"/>
              <w:ind w:left="360"/>
              <w:rPr>
                <w:rFonts w:ascii="Arial" w:hAnsi="Arial"/>
                <w:color w:val="000000"/>
                <w:sz w:val="20"/>
                <w:szCs w:val="20"/>
              </w:rPr>
            </w:pPr>
            <w:r>
              <w:rPr>
                <w:rFonts w:ascii="Arial" w:hAnsi="Arial"/>
                <w:color w:val="000000"/>
                <w:sz w:val="20"/>
                <w:szCs w:val="20"/>
              </w:rPr>
              <w:t>photographs</w:t>
            </w:r>
          </w:p>
          <w:p w14:paraId="4DFC2903" w14:textId="77777777" w:rsidR="00B061B3" w:rsidRDefault="00B061B3" w:rsidP="00B061B3">
            <w:pPr>
              <w:spacing w:after="0" w:line="240" w:lineRule="auto"/>
              <w:ind w:left="360"/>
              <w:rPr>
                <w:rFonts w:ascii="Arial" w:hAnsi="Arial"/>
                <w:color w:val="000000"/>
                <w:sz w:val="20"/>
                <w:szCs w:val="20"/>
              </w:rPr>
            </w:pPr>
          </w:p>
          <w:p w14:paraId="50B994D4" w14:textId="77777777" w:rsidR="00B061B3" w:rsidRDefault="00B061B3" w:rsidP="00B061B3">
            <w:pPr>
              <w:spacing w:after="0" w:line="240" w:lineRule="auto"/>
              <w:ind w:left="360"/>
              <w:rPr>
                <w:rFonts w:ascii="Arial" w:hAnsi="Arial"/>
                <w:b/>
                <w:color w:val="000000"/>
                <w:sz w:val="20"/>
                <w:szCs w:val="20"/>
              </w:rPr>
            </w:pPr>
            <w:r>
              <w:rPr>
                <w:rFonts w:ascii="Arial" w:hAnsi="Arial"/>
                <w:b/>
                <w:color w:val="000000"/>
                <w:sz w:val="20"/>
                <w:szCs w:val="20"/>
              </w:rPr>
              <w:t>Instruct</w:t>
            </w:r>
          </w:p>
          <w:p w14:paraId="1D68C514" w14:textId="21A16D79" w:rsidR="00B061B3" w:rsidRPr="00B061B3" w:rsidRDefault="00B061B3" w:rsidP="00B061B3">
            <w:pPr>
              <w:spacing w:after="0" w:line="240" w:lineRule="auto"/>
              <w:ind w:left="360"/>
              <w:rPr>
                <w:rFonts w:ascii="Arial" w:hAnsi="Arial" w:cs="Arial"/>
                <w:sz w:val="20"/>
                <w:szCs w:val="20"/>
              </w:rPr>
            </w:pPr>
            <w:r w:rsidRPr="00B061B3">
              <w:rPr>
                <w:rFonts w:ascii="Arial" w:hAnsi="Arial"/>
                <w:color w:val="000000"/>
                <w:sz w:val="20"/>
                <w:szCs w:val="20"/>
              </w:rPr>
              <w:t>interpret information presented visually, orally, or quantitatively (e.g., in charts, graphs, diagrams, time lines, animations, or interactive elements on Web pages)</w:t>
            </w:r>
          </w:p>
        </w:tc>
        <w:tc>
          <w:tcPr>
            <w:tcW w:w="4392" w:type="dxa"/>
          </w:tcPr>
          <w:p w14:paraId="575D42D7" w14:textId="77777777" w:rsidR="003A5EBD" w:rsidRPr="001E0887" w:rsidRDefault="003A5EBD" w:rsidP="00BF2D93">
            <w:pPr>
              <w:spacing w:after="0" w:line="240" w:lineRule="auto"/>
              <w:rPr>
                <w:rFonts w:ascii="Arial" w:hAnsi="Arial" w:cs="Arial"/>
                <w:sz w:val="20"/>
                <w:szCs w:val="20"/>
              </w:rPr>
            </w:pPr>
          </w:p>
          <w:p w14:paraId="2FDA2340" w14:textId="77777777" w:rsidR="003A5EBD" w:rsidRPr="001E0887" w:rsidRDefault="003A5EBD" w:rsidP="00BF2D93">
            <w:pPr>
              <w:spacing w:after="0" w:line="240" w:lineRule="auto"/>
              <w:rPr>
                <w:rFonts w:ascii="Arial" w:hAnsi="Arial" w:cs="Arial"/>
                <w:sz w:val="20"/>
                <w:szCs w:val="20"/>
              </w:rPr>
            </w:pPr>
          </w:p>
          <w:p w14:paraId="5E870C5D" w14:textId="77777777" w:rsidR="003A5EBD" w:rsidRPr="001E0887" w:rsidRDefault="003A5EBD" w:rsidP="00BF2D93">
            <w:pPr>
              <w:spacing w:after="0" w:line="240" w:lineRule="auto"/>
              <w:rPr>
                <w:rFonts w:ascii="Arial" w:hAnsi="Arial" w:cs="Arial"/>
                <w:sz w:val="20"/>
                <w:szCs w:val="20"/>
              </w:rPr>
            </w:pPr>
          </w:p>
          <w:p w14:paraId="7DF23BE0" w14:textId="77777777" w:rsidR="003A5EBD" w:rsidRPr="001E0887" w:rsidRDefault="003A5EBD" w:rsidP="00BF2D93">
            <w:pPr>
              <w:spacing w:after="0" w:line="240" w:lineRule="auto"/>
              <w:rPr>
                <w:rFonts w:ascii="Arial" w:hAnsi="Arial" w:cs="Arial"/>
                <w:sz w:val="20"/>
                <w:szCs w:val="20"/>
              </w:rPr>
            </w:pPr>
          </w:p>
          <w:p w14:paraId="50EFF663" w14:textId="77777777" w:rsidR="003A5EBD" w:rsidRPr="001E0887" w:rsidRDefault="003A5EBD" w:rsidP="00BF2D93">
            <w:pPr>
              <w:spacing w:after="0" w:line="240" w:lineRule="auto"/>
              <w:rPr>
                <w:rFonts w:ascii="Arial" w:hAnsi="Arial" w:cs="Arial"/>
                <w:sz w:val="20"/>
                <w:szCs w:val="20"/>
              </w:rPr>
            </w:pPr>
          </w:p>
        </w:tc>
      </w:tr>
      <w:tr w:rsidR="003A5EBD" w:rsidRPr="00B02E41" w14:paraId="2A014075" w14:textId="77777777" w:rsidTr="003A5EBD">
        <w:trPr>
          <w:jc w:val="center"/>
        </w:trPr>
        <w:tc>
          <w:tcPr>
            <w:tcW w:w="13176" w:type="dxa"/>
            <w:gridSpan w:val="3"/>
          </w:tcPr>
          <w:p w14:paraId="4FB8E3D1" w14:textId="5F1F6CB9" w:rsidR="003A5EBD" w:rsidRPr="001E0887" w:rsidRDefault="003A5EBD" w:rsidP="00BF2D93">
            <w:pPr>
              <w:spacing w:after="0" w:line="240" w:lineRule="auto"/>
              <w:rPr>
                <w:rFonts w:ascii="Arial" w:hAnsi="Arial" w:cs="Arial"/>
                <w:sz w:val="20"/>
                <w:szCs w:val="20"/>
              </w:rPr>
            </w:pPr>
            <w:r w:rsidRPr="001E0887">
              <w:rPr>
                <w:rFonts w:ascii="Arial" w:hAnsi="Arial" w:cs="Arial"/>
                <w:sz w:val="20"/>
                <w:szCs w:val="20"/>
              </w:rPr>
              <w:lastRenderedPageBreak/>
              <w:t>I</w:t>
            </w:r>
            <w:r w:rsidRPr="001E0887">
              <w:rPr>
                <w:rFonts w:ascii="Arial" w:hAnsi="Arial" w:cs="Arial"/>
                <w:b/>
                <w:sz w:val="20"/>
                <w:szCs w:val="20"/>
              </w:rPr>
              <w:t>nstructional Resources</w:t>
            </w:r>
            <w:r w:rsidRPr="001E0887">
              <w:rPr>
                <w:rFonts w:ascii="Arial" w:hAnsi="Arial" w:cs="Arial"/>
                <w:sz w:val="20"/>
                <w:szCs w:val="20"/>
              </w:rPr>
              <w:t>:</w:t>
            </w:r>
          </w:p>
          <w:p w14:paraId="0308ACCF" w14:textId="77777777" w:rsidR="003A5EBD" w:rsidRPr="001E0887" w:rsidRDefault="003A5EBD" w:rsidP="00BF2D93">
            <w:pPr>
              <w:spacing w:after="0" w:line="240" w:lineRule="auto"/>
              <w:rPr>
                <w:rFonts w:ascii="Arial" w:hAnsi="Arial" w:cs="Arial"/>
                <w:sz w:val="20"/>
                <w:szCs w:val="20"/>
              </w:rPr>
            </w:pPr>
          </w:p>
          <w:p w14:paraId="7EDA398B" w14:textId="77777777" w:rsidR="003A5EBD" w:rsidRPr="001E0887" w:rsidRDefault="003A5EBD" w:rsidP="00BF2D93">
            <w:pPr>
              <w:spacing w:after="0" w:line="240" w:lineRule="auto"/>
              <w:rPr>
                <w:rFonts w:ascii="Arial" w:hAnsi="Arial" w:cs="Arial"/>
                <w:sz w:val="20"/>
                <w:szCs w:val="20"/>
              </w:rPr>
            </w:pPr>
          </w:p>
          <w:p w14:paraId="14DE7A1E" w14:textId="77777777" w:rsidR="003A5EBD" w:rsidRPr="001E0887" w:rsidRDefault="003A5EBD" w:rsidP="00BF2D93">
            <w:pPr>
              <w:spacing w:after="0" w:line="240" w:lineRule="auto"/>
              <w:rPr>
                <w:rFonts w:ascii="Arial" w:hAnsi="Arial" w:cs="Arial"/>
                <w:sz w:val="20"/>
                <w:szCs w:val="20"/>
              </w:rPr>
            </w:pPr>
          </w:p>
          <w:p w14:paraId="35FF9B9A" w14:textId="77777777" w:rsidR="003A5EBD" w:rsidRPr="001E0887" w:rsidRDefault="003A5EBD" w:rsidP="00BF2D93">
            <w:pPr>
              <w:spacing w:after="0" w:line="240" w:lineRule="auto"/>
              <w:rPr>
                <w:rFonts w:ascii="Arial" w:hAnsi="Arial" w:cs="Arial"/>
                <w:sz w:val="20"/>
                <w:szCs w:val="20"/>
              </w:rPr>
            </w:pPr>
          </w:p>
        </w:tc>
      </w:tr>
      <w:tr w:rsidR="003A5EBD" w:rsidRPr="00B02E41" w14:paraId="46F6CD76" w14:textId="77777777" w:rsidTr="003A5EBD">
        <w:trPr>
          <w:jc w:val="center"/>
        </w:trPr>
        <w:tc>
          <w:tcPr>
            <w:tcW w:w="13176" w:type="dxa"/>
            <w:gridSpan w:val="3"/>
          </w:tcPr>
          <w:p w14:paraId="0D12965C" w14:textId="77777777" w:rsidR="003A5EBD" w:rsidRPr="001E0887" w:rsidRDefault="003A5EBD" w:rsidP="00BF2D93">
            <w:pPr>
              <w:spacing w:after="0" w:line="240" w:lineRule="auto"/>
              <w:rPr>
                <w:rFonts w:ascii="Arial" w:hAnsi="Arial" w:cs="Arial"/>
                <w:sz w:val="20"/>
                <w:szCs w:val="20"/>
              </w:rPr>
            </w:pPr>
            <w:r w:rsidRPr="001E0887">
              <w:rPr>
                <w:rFonts w:ascii="Arial" w:hAnsi="Arial" w:cs="Arial"/>
                <w:b/>
                <w:sz w:val="20"/>
                <w:szCs w:val="20"/>
              </w:rPr>
              <w:t>Notes and Additional Information</w:t>
            </w:r>
            <w:r w:rsidRPr="001E0887">
              <w:rPr>
                <w:rFonts w:ascii="Arial" w:hAnsi="Arial" w:cs="Arial"/>
                <w:sz w:val="20"/>
                <w:szCs w:val="20"/>
              </w:rPr>
              <w:t>:</w:t>
            </w:r>
          </w:p>
          <w:p w14:paraId="1D1EF056" w14:textId="77777777" w:rsidR="003A5EBD" w:rsidRPr="001E0887" w:rsidRDefault="003A5EBD" w:rsidP="00BF2D93">
            <w:pPr>
              <w:spacing w:after="0" w:line="240" w:lineRule="auto"/>
              <w:rPr>
                <w:rFonts w:ascii="Arial" w:hAnsi="Arial" w:cs="Arial"/>
                <w:sz w:val="20"/>
                <w:szCs w:val="20"/>
              </w:rPr>
            </w:pPr>
          </w:p>
        </w:tc>
      </w:tr>
    </w:tbl>
    <w:p w14:paraId="600932BF" w14:textId="77777777" w:rsidR="003A5EBD" w:rsidRDefault="003A5EBD" w:rsidP="003A5EBD">
      <w:pPr>
        <w:jc w:val="center"/>
        <w:rPr>
          <w:b/>
          <w:i/>
        </w:rPr>
      </w:pPr>
    </w:p>
    <w:p w14:paraId="47DC7AC5" w14:textId="434DD648" w:rsidR="003A5EBD" w:rsidRPr="00304005" w:rsidRDefault="003A5EBD" w:rsidP="003A5EBD">
      <w:pPr>
        <w:pStyle w:val="NoSpacing"/>
        <w:jc w:val="center"/>
        <w:rPr>
          <w:rFonts w:ascii="Georgia" w:hAnsi="Georgia"/>
          <w:i/>
          <w:color w:val="FF0000"/>
          <w:sz w:val="20"/>
          <w:szCs w:val="20"/>
        </w:rPr>
      </w:pPr>
      <w:r w:rsidRPr="00304005">
        <w:rPr>
          <w:rFonts w:ascii="Georgia" w:hAnsi="Georgia"/>
          <w:i/>
          <w:color w:val="FF0000"/>
          <w:sz w:val="20"/>
          <w:szCs w:val="20"/>
        </w:rPr>
        <w:t>Anson County ~ Bladen County ~ Columbus County ~ Cumberland County ~ Ft. Bragg ~ Harnett County ~ Hoke County</w:t>
      </w:r>
    </w:p>
    <w:p w14:paraId="136028C9" w14:textId="377FF7AF" w:rsidR="003A5EBD" w:rsidRPr="00304005" w:rsidRDefault="003A5EBD" w:rsidP="003A5EBD">
      <w:pPr>
        <w:pStyle w:val="NoSpacing"/>
        <w:jc w:val="center"/>
        <w:rPr>
          <w:rFonts w:ascii="Georgia" w:hAnsi="Georgia"/>
          <w:i/>
          <w:color w:val="FF0000"/>
          <w:sz w:val="20"/>
          <w:szCs w:val="20"/>
        </w:rPr>
      </w:pPr>
      <w:r w:rsidRPr="00304005">
        <w:rPr>
          <w:rFonts w:ascii="Georgia" w:hAnsi="Georgia"/>
          <w:i/>
          <w:color w:val="FF0000"/>
          <w:sz w:val="20"/>
          <w:szCs w:val="20"/>
        </w:rPr>
        <w:t>Lee County ~ Montgomery County ~ Moore County ~ Richmond County ~ Robeson County ~ Scotland County ~ Whiteville City</w:t>
      </w:r>
    </w:p>
    <w:p w14:paraId="02144DD4" w14:textId="77777777" w:rsidR="003A5EBD" w:rsidRDefault="003A5EBD" w:rsidP="003A5EBD">
      <w:pPr>
        <w:jc w:val="center"/>
        <w:rPr>
          <w:b/>
          <w:i/>
        </w:rPr>
      </w:pPr>
    </w:p>
    <w:p w14:paraId="368FD41D" w14:textId="6A9A8FCC" w:rsidR="003A5EBD" w:rsidRPr="003A5EBD" w:rsidRDefault="003A5EBD" w:rsidP="003A5EBD">
      <w:pPr>
        <w:jc w:val="center"/>
        <w:rPr>
          <w:rFonts w:ascii="Times New Roman" w:hAnsi="Times New Roman"/>
          <w:b/>
          <w:i/>
          <w:sz w:val="18"/>
          <w:szCs w:val="18"/>
        </w:rPr>
      </w:pPr>
      <w:r>
        <w:rPr>
          <w:rFonts w:ascii="Times New Roman" w:hAnsi="Times New Roman"/>
          <w:b/>
          <w:i/>
          <w:sz w:val="18"/>
          <w:szCs w:val="18"/>
        </w:rPr>
        <w:t xml:space="preserve">Copyright (2012) – No portion of this document can be reproduced or used without the express permission of the Executive Director of the </w:t>
      </w:r>
      <w:proofErr w:type="spellStart"/>
      <w:r>
        <w:rPr>
          <w:rFonts w:ascii="Times New Roman" w:hAnsi="Times New Roman"/>
          <w:b/>
          <w:i/>
          <w:sz w:val="18"/>
          <w:szCs w:val="18"/>
        </w:rPr>
        <w:t>SandHills</w:t>
      </w:r>
      <w:proofErr w:type="spellEnd"/>
      <w:r>
        <w:rPr>
          <w:rFonts w:ascii="Times New Roman" w:hAnsi="Times New Roman"/>
          <w:b/>
          <w:i/>
          <w:sz w:val="18"/>
          <w:szCs w:val="18"/>
        </w:rPr>
        <w:t xml:space="preserve"> Regional Educational Consortium</w:t>
      </w:r>
    </w:p>
    <w:sectPr w:rsidR="003A5EBD" w:rsidRPr="003A5EBD" w:rsidSect="003A5EBD">
      <w:pgSz w:w="15840" w:h="12240" w:orient="landscape"/>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3026A"/>
    <w:multiLevelType w:val="hybridMultilevel"/>
    <w:tmpl w:val="8676D2EA"/>
    <w:lvl w:ilvl="0" w:tplc="76AAB19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811197C"/>
    <w:multiLevelType w:val="hybridMultilevel"/>
    <w:tmpl w:val="8BEC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735F2B"/>
    <w:multiLevelType w:val="hybridMultilevel"/>
    <w:tmpl w:val="8DF67F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2FA"/>
    <w:rsid w:val="00061109"/>
    <w:rsid w:val="000D72FA"/>
    <w:rsid w:val="001A01D0"/>
    <w:rsid w:val="001B76CB"/>
    <w:rsid w:val="001E0887"/>
    <w:rsid w:val="002E25D8"/>
    <w:rsid w:val="002F68B3"/>
    <w:rsid w:val="00304005"/>
    <w:rsid w:val="003A5EBD"/>
    <w:rsid w:val="005C42C7"/>
    <w:rsid w:val="006053AF"/>
    <w:rsid w:val="006E050B"/>
    <w:rsid w:val="007838DE"/>
    <w:rsid w:val="00B061B3"/>
    <w:rsid w:val="00B3549D"/>
    <w:rsid w:val="00B73DFC"/>
    <w:rsid w:val="00BF164F"/>
    <w:rsid w:val="00C05704"/>
    <w:rsid w:val="00C974F2"/>
    <w:rsid w:val="00CA749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FA"/>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EBD"/>
    <w:rPr>
      <w:rFonts w:ascii="Tahoma" w:eastAsia="Calibri" w:hAnsi="Tahoma" w:cs="Tahoma"/>
      <w:sz w:val="16"/>
      <w:szCs w:val="16"/>
    </w:rPr>
  </w:style>
  <w:style w:type="paragraph" w:styleId="NoSpacing">
    <w:name w:val="No Spacing"/>
    <w:uiPriority w:val="1"/>
    <w:qFormat/>
    <w:rsid w:val="003A5EBD"/>
    <w:rPr>
      <w:rFonts w:eastAsiaTheme="minorHAnsi"/>
      <w:sz w:val="22"/>
      <w:szCs w:val="22"/>
    </w:rPr>
  </w:style>
  <w:style w:type="paragraph" w:styleId="ListParagraph">
    <w:name w:val="List Paragraph"/>
    <w:basedOn w:val="Normal"/>
    <w:uiPriority w:val="34"/>
    <w:qFormat/>
    <w:rsid w:val="00CA74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FA"/>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EBD"/>
    <w:rPr>
      <w:rFonts w:ascii="Tahoma" w:eastAsia="Calibri" w:hAnsi="Tahoma" w:cs="Tahoma"/>
      <w:sz w:val="16"/>
      <w:szCs w:val="16"/>
    </w:rPr>
  </w:style>
  <w:style w:type="paragraph" w:styleId="NoSpacing">
    <w:name w:val="No Spacing"/>
    <w:uiPriority w:val="1"/>
    <w:qFormat/>
    <w:rsid w:val="003A5EBD"/>
    <w:rPr>
      <w:rFonts w:eastAsiaTheme="minorHAnsi"/>
      <w:sz w:val="22"/>
      <w:szCs w:val="22"/>
    </w:rPr>
  </w:style>
  <w:style w:type="paragraph" w:styleId="ListParagraph">
    <w:name w:val="List Paragraph"/>
    <w:basedOn w:val="Normal"/>
    <w:uiPriority w:val="34"/>
    <w:qFormat/>
    <w:rsid w:val="00CA7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Hoke County Schools</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Atkinson</dc:creator>
  <cp:lastModifiedBy>WFUT4102010</cp:lastModifiedBy>
  <cp:revision>4</cp:revision>
  <dcterms:created xsi:type="dcterms:W3CDTF">2012-06-08T15:04:00Z</dcterms:created>
  <dcterms:modified xsi:type="dcterms:W3CDTF">2012-08-04T18:17:00Z</dcterms:modified>
</cp:coreProperties>
</file>