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229F6" w14:textId="3589C7F3" w:rsidR="003A5EBD" w:rsidRDefault="003A5EBD" w:rsidP="003A5EBD">
      <w:pPr>
        <w:spacing w:after="0" w:line="240" w:lineRule="auto"/>
        <w:jc w:val="center"/>
        <w:rPr>
          <w:rFonts w:ascii="Lucida Calligraphy" w:hAnsi="Lucida Calligraphy"/>
          <w:b/>
          <w:i/>
          <w:color w:val="FF0000"/>
        </w:rPr>
      </w:pPr>
      <w:proofErr w:type="spellStart"/>
      <w:r w:rsidRPr="003A5EBD">
        <w:rPr>
          <w:rFonts w:ascii="Lucida Calligraphy" w:hAnsi="Lucida Calligraphy"/>
          <w:b/>
          <w:i/>
          <w:color w:val="FF0000"/>
        </w:rPr>
        <w:t>SandHills</w:t>
      </w:r>
      <w:proofErr w:type="spellEnd"/>
      <w:r w:rsidRPr="003A5EBD">
        <w:rPr>
          <w:rFonts w:ascii="Lucida Calligraphy" w:hAnsi="Lucida Calligraphy"/>
          <w:b/>
          <w:i/>
          <w:color w:val="FF0000"/>
        </w:rPr>
        <w:t xml:space="preserve"> Regional Education Consortium</w:t>
      </w:r>
    </w:p>
    <w:p w14:paraId="1646FFA0" w14:textId="6FDBF333" w:rsidR="003A5EBD" w:rsidRDefault="003A5EBD" w:rsidP="003A5EBD">
      <w:pPr>
        <w:spacing w:after="0" w:line="240" w:lineRule="auto"/>
        <w:jc w:val="center"/>
        <w:rPr>
          <w:rFonts w:ascii="Lucida Calligraphy" w:hAnsi="Lucida Calligraphy"/>
          <w:b/>
          <w:i/>
          <w:color w:val="FF0000"/>
        </w:rPr>
      </w:pPr>
      <w:r w:rsidRPr="00906298">
        <w:rPr>
          <w:noProof/>
        </w:rPr>
        <w:drawing>
          <wp:inline distT="0" distB="0" distL="0" distR="0" wp14:anchorId="640DE8E1" wp14:editId="04ABFB99">
            <wp:extent cx="1333500" cy="565150"/>
            <wp:effectExtent l="19050" t="0" r="0" b="0"/>
            <wp:docPr id="1" name="Picture 1" descr="N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 Logo"/>
                    <pic:cNvPicPr>
                      <a:picLocks noChangeAspect="1" noChangeArrowheads="1"/>
                    </pic:cNvPicPr>
                  </pic:nvPicPr>
                  <pic:blipFill>
                    <a:blip r:embed="rId6" cstate="print"/>
                    <a:srcRect/>
                    <a:stretch>
                      <a:fillRect/>
                    </a:stretch>
                  </pic:blipFill>
                  <pic:spPr bwMode="auto">
                    <a:xfrm>
                      <a:off x="0" y="0"/>
                      <a:ext cx="1333500" cy="565150"/>
                    </a:xfrm>
                    <a:prstGeom prst="rect">
                      <a:avLst/>
                    </a:prstGeom>
                    <a:noFill/>
                    <a:ln w="9525">
                      <a:noFill/>
                      <a:miter lim="800000"/>
                      <a:headEnd/>
                      <a:tailEnd/>
                    </a:ln>
                  </pic:spPr>
                </pic:pic>
              </a:graphicData>
            </a:graphic>
          </wp:inline>
        </w:drawing>
      </w:r>
    </w:p>
    <w:p w14:paraId="54DFD9B9" w14:textId="77777777" w:rsidR="003A5EBD" w:rsidRPr="003A5EBD" w:rsidRDefault="003A5EBD" w:rsidP="003A5EBD">
      <w:pPr>
        <w:spacing w:after="0" w:line="240" w:lineRule="auto"/>
        <w:jc w:val="center"/>
        <w:rPr>
          <w:rFonts w:ascii="Lucida Calligraphy" w:hAnsi="Lucida Calligraphy"/>
          <w:b/>
          <w:i/>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2"/>
        <w:gridCol w:w="4392"/>
        <w:gridCol w:w="4392"/>
      </w:tblGrid>
      <w:tr w:rsidR="003A5EBD" w:rsidRPr="00225804" w14:paraId="2AEB3D0E" w14:textId="77777777" w:rsidTr="003A5EBD">
        <w:trPr>
          <w:jc w:val="center"/>
        </w:trPr>
        <w:tc>
          <w:tcPr>
            <w:tcW w:w="4392" w:type="dxa"/>
          </w:tcPr>
          <w:p w14:paraId="2ED5B8F8" w14:textId="77777777" w:rsidR="00951C7E" w:rsidRDefault="00951C7E" w:rsidP="00BF2D93">
            <w:pPr>
              <w:spacing w:after="0" w:line="240" w:lineRule="auto"/>
              <w:rPr>
                <w:rFonts w:ascii="Arial" w:hAnsi="Arial" w:cs="Arial"/>
                <w:b/>
                <w:sz w:val="20"/>
                <w:szCs w:val="20"/>
              </w:rPr>
            </w:pPr>
            <w:r>
              <w:rPr>
                <w:rFonts w:ascii="Arial" w:hAnsi="Arial" w:cs="Arial"/>
                <w:b/>
                <w:sz w:val="20"/>
                <w:szCs w:val="20"/>
              </w:rPr>
              <w:t xml:space="preserve">Strand: </w:t>
            </w:r>
          </w:p>
          <w:p w14:paraId="62B18FCB" w14:textId="5825E021" w:rsidR="00951C7E" w:rsidRPr="00951C7E" w:rsidRDefault="00951C7E" w:rsidP="00BF2D93">
            <w:pPr>
              <w:spacing w:after="0" w:line="240" w:lineRule="auto"/>
              <w:rPr>
                <w:rFonts w:ascii="Arial" w:hAnsi="Arial" w:cs="Arial"/>
                <w:sz w:val="20"/>
                <w:szCs w:val="20"/>
              </w:rPr>
            </w:pPr>
            <w:r w:rsidRPr="00951C7E">
              <w:rPr>
                <w:rFonts w:ascii="Arial" w:hAnsi="Arial" w:cs="Arial"/>
                <w:sz w:val="20"/>
                <w:szCs w:val="20"/>
              </w:rPr>
              <w:t>Reading Literature</w:t>
            </w:r>
          </w:p>
          <w:p w14:paraId="40142A41" w14:textId="77777777" w:rsidR="00951C7E" w:rsidRDefault="003A5EBD" w:rsidP="00BF2D93">
            <w:pPr>
              <w:spacing w:after="0" w:line="240" w:lineRule="auto"/>
              <w:rPr>
                <w:rFonts w:ascii="Arial" w:hAnsi="Arial" w:cs="Arial"/>
                <w:sz w:val="20"/>
                <w:szCs w:val="20"/>
              </w:rPr>
            </w:pPr>
            <w:r w:rsidRPr="001E0887">
              <w:rPr>
                <w:rFonts w:ascii="Arial" w:hAnsi="Arial" w:cs="Arial"/>
                <w:b/>
                <w:sz w:val="20"/>
                <w:szCs w:val="20"/>
              </w:rPr>
              <w:t>Domain</w:t>
            </w:r>
            <w:r w:rsidRPr="001E0887">
              <w:rPr>
                <w:rFonts w:ascii="Arial" w:hAnsi="Arial" w:cs="Arial"/>
                <w:sz w:val="20"/>
                <w:szCs w:val="20"/>
              </w:rPr>
              <w:t xml:space="preserve">:  </w:t>
            </w:r>
          </w:p>
          <w:p w14:paraId="5BECBFC6" w14:textId="556BCA9F" w:rsidR="003A5EBD" w:rsidRPr="001E0887" w:rsidRDefault="00951C7E" w:rsidP="00BF2D93">
            <w:pPr>
              <w:spacing w:after="0" w:line="240" w:lineRule="auto"/>
              <w:rPr>
                <w:rFonts w:ascii="Arial" w:hAnsi="Arial" w:cs="Arial"/>
                <w:sz w:val="20"/>
                <w:szCs w:val="20"/>
              </w:rPr>
            </w:pPr>
            <w:r>
              <w:rPr>
                <w:rFonts w:ascii="Arial" w:hAnsi="Arial" w:cs="Arial"/>
                <w:sz w:val="20"/>
                <w:szCs w:val="20"/>
              </w:rPr>
              <w:t>Integration of Knowledge and Ideas</w:t>
            </w:r>
            <w:r w:rsidR="003A5EBD" w:rsidRPr="001E0887">
              <w:rPr>
                <w:rFonts w:ascii="Arial" w:hAnsi="Arial" w:cs="Arial"/>
                <w:sz w:val="20"/>
                <w:szCs w:val="20"/>
              </w:rPr>
              <w:t xml:space="preserve"> </w:t>
            </w:r>
          </w:p>
          <w:p w14:paraId="2485E879" w14:textId="77777777" w:rsidR="003A5EBD" w:rsidRPr="001E0887" w:rsidRDefault="003A5EBD" w:rsidP="00BF2D93">
            <w:pPr>
              <w:spacing w:after="0" w:line="240" w:lineRule="auto"/>
              <w:rPr>
                <w:rFonts w:ascii="Arial" w:hAnsi="Arial" w:cs="Arial"/>
                <w:sz w:val="20"/>
                <w:szCs w:val="20"/>
              </w:rPr>
            </w:pPr>
          </w:p>
        </w:tc>
        <w:tc>
          <w:tcPr>
            <w:tcW w:w="4392" w:type="dxa"/>
          </w:tcPr>
          <w:p w14:paraId="40341FC2" w14:textId="2548F3B9" w:rsidR="003A5EBD" w:rsidRPr="001E0887" w:rsidRDefault="002F68B3" w:rsidP="00BF2D93">
            <w:pPr>
              <w:spacing w:after="0" w:line="240" w:lineRule="auto"/>
              <w:rPr>
                <w:rFonts w:ascii="Arial" w:hAnsi="Arial" w:cs="Arial"/>
                <w:sz w:val="20"/>
                <w:szCs w:val="20"/>
              </w:rPr>
            </w:pPr>
            <w:r>
              <w:rPr>
                <w:rFonts w:ascii="Arial" w:hAnsi="Arial" w:cs="Arial"/>
                <w:b/>
                <w:sz w:val="20"/>
                <w:szCs w:val="20"/>
              </w:rPr>
              <w:t>Mathematical Practice(s)</w:t>
            </w:r>
            <w:r w:rsidR="003A5EBD" w:rsidRPr="001E0887">
              <w:rPr>
                <w:rFonts w:ascii="Arial" w:hAnsi="Arial" w:cs="Arial"/>
                <w:sz w:val="20"/>
                <w:szCs w:val="20"/>
              </w:rPr>
              <w:t>:</w:t>
            </w:r>
          </w:p>
        </w:tc>
        <w:tc>
          <w:tcPr>
            <w:tcW w:w="4392" w:type="dxa"/>
          </w:tcPr>
          <w:p w14:paraId="2AB318FD" w14:textId="22AEA6E9" w:rsidR="003A5EBD" w:rsidRPr="001E0887" w:rsidRDefault="001B76CB" w:rsidP="00BF2D93">
            <w:pPr>
              <w:spacing w:after="0" w:line="240" w:lineRule="auto"/>
              <w:rPr>
                <w:rFonts w:ascii="Arial" w:hAnsi="Arial" w:cs="Arial"/>
                <w:sz w:val="20"/>
                <w:szCs w:val="20"/>
              </w:rPr>
            </w:pPr>
            <w:r>
              <w:rPr>
                <w:rFonts w:ascii="Arial" w:hAnsi="Arial" w:cs="Arial"/>
                <w:b/>
                <w:sz w:val="20"/>
                <w:szCs w:val="20"/>
              </w:rPr>
              <w:t>Level of Thinking</w:t>
            </w:r>
            <w:r w:rsidR="003A5EBD" w:rsidRPr="001E0887">
              <w:rPr>
                <w:rFonts w:ascii="Arial" w:hAnsi="Arial" w:cs="Arial"/>
                <w:sz w:val="20"/>
                <w:szCs w:val="20"/>
              </w:rPr>
              <w:t>:</w:t>
            </w:r>
          </w:p>
          <w:p w14:paraId="33D26EA3" w14:textId="15CCD849" w:rsidR="003A5EBD" w:rsidRPr="00BB03E9" w:rsidRDefault="00BB03E9" w:rsidP="00BF2D93">
            <w:pPr>
              <w:spacing w:after="0" w:line="240" w:lineRule="auto"/>
              <w:rPr>
                <w:rFonts w:ascii="Arial" w:hAnsi="Arial" w:cs="Arial"/>
                <w:sz w:val="20"/>
                <w:szCs w:val="20"/>
              </w:rPr>
            </w:pPr>
            <w:r>
              <w:rPr>
                <w:rFonts w:ascii="Arial" w:hAnsi="Arial" w:cs="Arial"/>
                <w:sz w:val="20"/>
                <w:szCs w:val="20"/>
              </w:rPr>
              <w:t>Analyzing</w:t>
            </w:r>
          </w:p>
        </w:tc>
      </w:tr>
      <w:tr w:rsidR="003A5EBD" w:rsidRPr="00B02E41" w14:paraId="080CD2DF" w14:textId="77777777" w:rsidTr="003A5EBD">
        <w:trPr>
          <w:trHeight w:val="899"/>
          <w:jc w:val="center"/>
        </w:trPr>
        <w:tc>
          <w:tcPr>
            <w:tcW w:w="13176" w:type="dxa"/>
            <w:gridSpan w:val="3"/>
          </w:tcPr>
          <w:p w14:paraId="0AD5026A" w14:textId="77777777" w:rsidR="003A5EBD" w:rsidRDefault="003A5EBD" w:rsidP="00BF2D93">
            <w:pPr>
              <w:spacing w:after="0" w:line="240" w:lineRule="auto"/>
              <w:rPr>
                <w:rFonts w:ascii="Arial" w:hAnsi="Arial" w:cs="Arial"/>
                <w:sz w:val="20"/>
                <w:szCs w:val="20"/>
              </w:rPr>
            </w:pPr>
            <w:r w:rsidRPr="001E0887">
              <w:rPr>
                <w:rFonts w:ascii="Arial" w:hAnsi="Arial" w:cs="Arial"/>
                <w:b/>
                <w:sz w:val="20"/>
                <w:szCs w:val="20"/>
              </w:rPr>
              <w:t>Anchor Standard</w:t>
            </w:r>
            <w:r w:rsidRPr="001E0887">
              <w:rPr>
                <w:rFonts w:ascii="Arial" w:hAnsi="Arial" w:cs="Arial"/>
                <w:sz w:val="20"/>
                <w:szCs w:val="20"/>
              </w:rPr>
              <w:t>:</w:t>
            </w:r>
          </w:p>
          <w:p w14:paraId="1D9213C3" w14:textId="13739D8E" w:rsidR="00EC6DD6" w:rsidRPr="001E0887" w:rsidRDefault="00EC6DD6" w:rsidP="00BF2D93">
            <w:pPr>
              <w:spacing w:after="0" w:line="240" w:lineRule="auto"/>
              <w:rPr>
                <w:rFonts w:ascii="Arial" w:hAnsi="Arial" w:cs="Arial"/>
                <w:sz w:val="20"/>
                <w:szCs w:val="20"/>
              </w:rPr>
            </w:pPr>
            <w:r w:rsidRPr="00EC6DD6">
              <w:rPr>
                <w:rFonts w:ascii="Arial" w:hAnsi="Arial" w:cs="Arial"/>
                <w:sz w:val="20"/>
                <w:szCs w:val="20"/>
              </w:rPr>
              <w:t>Analyze how two or more texts address similar themes or topics in order to build knowledge or to compare the approaches the authors take.</w:t>
            </w:r>
          </w:p>
        </w:tc>
      </w:tr>
      <w:tr w:rsidR="003A5EBD" w:rsidRPr="00B02E41" w14:paraId="677DC30A" w14:textId="77777777" w:rsidTr="003A5EBD">
        <w:trPr>
          <w:jc w:val="center"/>
        </w:trPr>
        <w:tc>
          <w:tcPr>
            <w:tcW w:w="13176" w:type="dxa"/>
            <w:gridSpan w:val="3"/>
          </w:tcPr>
          <w:p w14:paraId="6F025CDF" w14:textId="77777777" w:rsidR="003A5EBD"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0887">
              <w:rPr>
                <w:rFonts w:ascii="Arial" w:hAnsi="Arial" w:cs="Arial"/>
                <w:b/>
                <w:sz w:val="20"/>
                <w:szCs w:val="20"/>
              </w:rPr>
              <w:t>Grade Specific Standard</w:t>
            </w:r>
            <w:r w:rsidRPr="001E0887">
              <w:rPr>
                <w:rFonts w:ascii="Arial" w:hAnsi="Arial" w:cs="Arial"/>
                <w:sz w:val="20"/>
                <w:szCs w:val="20"/>
              </w:rPr>
              <w:t xml:space="preserve">: </w:t>
            </w:r>
          </w:p>
          <w:p w14:paraId="5570099B" w14:textId="66E85110" w:rsidR="00EC6DD6" w:rsidRPr="001E0887" w:rsidRDefault="00EC6DD6"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olor w:val="000000"/>
                <w:sz w:val="20"/>
                <w:szCs w:val="20"/>
              </w:rPr>
            </w:pPr>
            <w:r>
              <w:rPr>
                <w:rFonts w:ascii="Arial" w:hAnsi="Arial" w:cs="Arial"/>
                <w:sz w:val="20"/>
                <w:szCs w:val="20"/>
              </w:rPr>
              <w:t xml:space="preserve">RL.4.9 </w:t>
            </w:r>
            <w:r w:rsidRPr="00EC6DD6">
              <w:rPr>
                <w:rFonts w:ascii="Arial" w:hAnsi="Arial" w:cs="Arial"/>
                <w:sz w:val="20"/>
                <w:szCs w:val="20"/>
              </w:rPr>
              <w:t>Compare and contrast the treatment of similar themes and topics (e.g., opposition of good and evil) and patterns of events (e.g., the quest) in stories, myths, and traditional literature from different cultures.</w:t>
            </w:r>
          </w:p>
          <w:p w14:paraId="48B1C921" w14:textId="77777777" w:rsidR="003A5EBD" w:rsidRPr="001E0887"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olor w:val="000000"/>
                <w:sz w:val="20"/>
                <w:szCs w:val="20"/>
              </w:rPr>
            </w:pPr>
          </w:p>
        </w:tc>
      </w:tr>
      <w:tr w:rsidR="003A5EBD" w:rsidRPr="00B02E41" w14:paraId="56AA4A6E" w14:textId="77777777" w:rsidTr="003A5EBD">
        <w:trPr>
          <w:jc w:val="center"/>
        </w:trPr>
        <w:tc>
          <w:tcPr>
            <w:tcW w:w="13176" w:type="dxa"/>
            <w:gridSpan w:val="3"/>
          </w:tcPr>
          <w:p w14:paraId="5EB03E7B" w14:textId="77777777" w:rsidR="003A5EBD" w:rsidRPr="001E0887" w:rsidRDefault="003A5EBD" w:rsidP="00BF2D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1E0887">
              <w:rPr>
                <w:rFonts w:ascii="Arial" w:hAnsi="Arial" w:cs="Arial"/>
                <w:b/>
                <w:sz w:val="20"/>
                <w:szCs w:val="20"/>
              </w:rPr>
              <w:t>Information Technology Standard</w:t>
            </w:r>
            <w:r w:rsidRPr="001E0887">
              <w:rPr>
                <w:rFonts w:ascii="Arial" w:hAnsi="Arial" w:cs="Arial"/>
                <w:sz w:val="20"/>
                <w:szCs w:val="20"/>
              </w:rPr>
              <w:t>:</w:t>
            </w:r>
          </w:p>
          <w:p w14:paraId="1E18A9D3" w14:textId="77777777" w:rsidR="002E11B4" w:rsidRPr="002E11B4" w:rsidRDefault="002E11B4" w:rsidP="002E11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11B4">
              <w:rPr>
                <w:rFonts w:ascii="Arial" w:hAnsi="Arial" w:cs="Arial"/>
                <w:sz w:val="20"/>
                <w:szCs w:val="20"/>
              </w:rPr>
              <w:t>4.IN.1.1</w:t>
            </w:r>
          </w:p>
          <w:p w14:paraId="7B56C035" w14:textId="77777777" w:rsidR="003A5EBD" w:rsidRDefault="002E11B4" w:rsidP="002E11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11B4">
              <w:rPr>
                <w:rFonts w:ascii="Arial" w:hAnsi="Arial" w:cs="Arial"/>
                <w:sz w:val="20"/>
                <w:szCs w:val="20"/>
              </w:rPr>
              <w:t>Implement appropriate reading strategies when reading for information.</w:t>
            </w:r>
          </w:p>
          <w:p w14:paraId="07D0E264" w14:textId="77777777" w:rsidR="002E11B4" w:rsidRPr="002E11B4" w:rsidRDefault="002E11B4" w:rsidP="002E11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11B4">
              <w:rPr>
                <w:rFonts w:ascii="Arial" w:hAnsi="Arial" w:cs="Arial"/>
                <w:sz w:val="20"/>
                <w:szCs w:val="20"/>
              </w:rPr>
              <w:t>4.IN.1.2</w:t>
            </w:r>
          </w:p>
          <w:p w14:paraId="2A59EB72" w14:textId="088B4FF3" w:rsidR="002E11B4" w:rsidRPr="001E0887" w:rsidRDefault="002E11B4" w:rsidP="002E11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sz w:val="20"/>
                <w:szCs w:val="20"/>
              </w:rPr>
            </w:pPr>
            <w:r w:rsidRPr="002E11B4">
              <w:rPr>
                <w:rFonts w:ascii="Arial" w:hAnsi="Arial" w:cs="Arial"/>
                <w:sz w:val="20"/>
                <w:szCs w:val="20"/>
              </w:rPr>
              <w:t>Explain the importance of relevant characteristics in various genres</w:t>
            </w:r>
            <w:r>
              <w:rPr>
                <w:rFonts w:ascii="Arial" w:hAnsi="Arial" w:cs="Arial"/>
                <w:sz w:val="20"/>
                <w:szCs w:val="20"/>
              </w:rPr>
              <w:t>.</w:t>
            </w:r>
          </w:p>
        </w:tc>
      </w:tr>
      <w:tr w:rsidR="003A5EBD" w:rsidRPr="007E4F36" w14:paraId="78029087" w14:textId="77777777" w:rsidTr="003A5EBD">
        <w:trPr>
          <w:jc w:val="center"/>
        </w:trPr>
        <w:tc>
          <w:tcPr>
            <w:tcW w:w="13176" w:type="dxa"/>
            <w:gridSpan w:val="3"/>
          </w:tcPr>
          <w:p w14:paraId="5DF64BE1" w14:textId="77777777" w:rsidR="003A5EBD" w:rsidRDefault="003A5EBD" w:rsidP="00BF2D93">
            <w:pPr>
              <w:spacing w:after="0" w:line="240" w:lineRule="auto"/>
              <w:rPr>
                <w:rFonts w:ascii="Arial" w:hAnsi="Arial" w:cs="Arial"/>
                <w:sz w:val="20"/>
                <w:szCs w:val="20"/>
              </w:rPr>
            </w:pPr>
            <w:r w:rsidRPr="001E0887">
              <w:rPr>
                <w:rFonts w:ascii="Arial" w:hAnsi="Arial" w:cs="Arial"/>
                <w:b/>
                <w:sz w:val="20"/>
                <w:szCs w:val="20"/>
              </w:rPr>
              <w:t>Clarifying Objectives</w:t>
            </w:r>
            <w:r w:rsidRPr="001E0887">
              <w:rPr>
                <w:rFonts w:ascii="Arial" w:hAnsi="Arial" w:cs="Arial"/>
                <w:sz w:val="20"/>
                <w:szCs w:val="20"/>
              </w:rPr>
              <w:t>:</w:t>
            </w:r>
          </w:p>
          <w:p w14:paraId="797ACEE4" w14:textId="4118D7CF" w:rsidR="00EC6DD6" w:rsidRPr="001E0887" w:rsidRDefault="00EC6DD6" w:rsidP="00BF2D93">
            <w:pPr>
              <w:spacing w:after="0" w:line="240" w:lineRule="auto"/>
              <w:rPr>
                <w:rFonts w:ascii="Arial" w:hAnsi="Arial" w:cs="Arial"/>
                <w:sz w:val="20"/>
                <w:szCs w:val="20"/>
              </w:rPr>
            </w:pPr>
            <w:r>
              <w:t>Compare and contrast similar themes, topics and patterns of events in a variety of literature.</w:t>
            </w:r>
          </w:p>
          <w:p w14:paraId="4CC9E27C" w14:textId="77777777" w:rsidR="003A5EBD" w:rsidRPr="001E0887" w:rsidRDefault="003A5EBD" w:rsidP="00BF2D93">
            <w:pPr>
              <w:spacing w:after="0" w:line="240" w:lineRule="auto"/>
              <w:ind w:left="2160"/>
              <w:rPr>
                <w:rFonts w:ascii="Arial" w:hAnsi="Arial"/>
                <w:color w:val="000000"/>
                <w:sz w:val="20"/>
                <w:szCs w:val="20"/>
              </w:rPr>
            </w:pPr>
          </w:p>
        </w:tc>
      </w:tr>
      <w:tr w:rsidR="003A5EBD" w:rsidRPr="00B02E41" w14:paraId="196F34AA" w14:textId="77777777" w:rsidTr="003A5EBD">
        <w:trPr>
          <w:jc w:val="center"/>
        </w:trPr>
        <w:tc>
          <w:tcPr>
            <w:tcW w:w="4392" w:type="dxa"/>
          </w:tcPr>
          <w:p w14:paraId="156F70F3" w14:textId="77777777" w:rsidR="003A5EBD" w:rsidRPr="001E0887" w:rsidRDefault="003A5EBD" w:rsidP="00BF2D93">
            <w:pPr>
              <w:spacing w:after="0" w:line="240" w:lineRule="auto"/>
              <w:rPr>
                <w:rFonts w:ascii="Arial" w:hAnsi="Arial" w:cs="Arial"/>
                <w:b/>
                <w:sz w:val="20"/>
                <w:szCs w:val="20"/>
              </w:rPr>
            </w:pPr>
            <w:r w:rsidRPr="001E0887">
              <w:rPr>
                <w:rFonts w:ascii="Arial" w:hAnsi="Arial" w:cs="Arial"/>
                <w:b/>
                <w:sz w:val="20"/>
                <w:szCs w:val="20"/>
              </w:rPr>
              <w:t>Task Analysis</w:t>
            </w:r>
          </w:p>
        </w:tc>
        <w:tc>
          <w:tcPr>
            <w:tcW w:w="4392" w:type="dxa"/>
          </w:tcPr>
          <w:p w14:paraId="6F4CCEF3" w14:textId="77777777" w:rsidR="003A5EBD" w:rsidRPr="001E0887" w:rsidRDefault="003A5EBD" w:rsidP="00BF2D93">
            <w:pPr>
              <w:spacing w:after="0" w:line="240" w:lineRule="auto"/>
              <w:jc w:val="center"/>
              <w:rPr>
                <w:rFonts w:ascii="Arial" w:hAnsi="Arial" w:cs="Arial"/>
                <w:b/>
                <w:sz w:val="20"/>
                <w:szCs w:val="20"/>
              </w:rPr>
            </w:pPr>
            <w:r w:rsidRPr="001E0887">
              <w:rPr>
                <w:rFonts w:ascii="Arial" w:hAnsi="Arial" w:cs="Arial"/>
                <w:b/>
                <w:sz w:val="20"/>
                <w:szCs w:val="20"/>
              </w:rPr>
              <w:t>Vocabulary</w:t>
            </w:r>
          </w:p>
        </w:tc>
        <w:tc>
          <w:tcPr>
            <w:tcW w:w="4392" w:type="dxa"/>
          </w:tcPr>
          <w:p w14:paraId="70AC34B7" w14:textId="3219F6D1" w:rsidR="003A5EBD" w:rsidRPr="001E0887" w:rsidRDefault="003A5EBD" w:rsidP="00BF2D93">
            <w:pPr>
              <w:spacing w:after="0" w:line="240" w:lineRule="auto"/>
              <w:jc w:val="center"/>
              <w:rPr>
                <w:rFonts w:ascii="Arial" w:hAnsi="Arial" w:cs="Arial"/>
                <w:b/>
                <w:sz w:val="20"/>
                <w:szCs w:val="20"/>
              </w:rPr>
            </w:pPr>
            <w:bookmarkStart w:id="0" w:name="_GoBack"/>
            <w:bookmarkEnd w:id="0"/>
          </w:p>
        </w:tc>
      </w:tr>
      <w:tr w:rsidR="003A5EBD" w:rsidRPr="00B02E41" w14:paraId="20CC111A" w14:textId="77777777" w:rsidTr="003A5EBD">
        <w:trPr>
          <w:trHeight w:val="2596"/>
          <w:jc w:val="center"/>
        </w:trPr>
        <w:tc>
          <w:tcPr>
            <w:tcW w:w="4392" w:type="dxa"/>
          </w:tcPr>
          <w:p w14:paraId="75E5C962" w14:textId="77777777" w:rsidR="00BB03E9" w:rsidRPr="00BB03E9" w:rsidRDefault="00BB03E9" w:rsidP="00BB03E9">
            <w:pPr>
              <w:numPr>
                <w:ilvl w:val="0"/>
                <w:numId w:val="4"/>
              </w:numPr>
              <w:spacing w:after="0" w:line="240" w:lineRule="auto"/>
              <w:rPr>
                <w:rFonts w:ascii="Arial" w:hAnsi="Arial" w:cs="Arial"/>
                <w:sz w:val="20"/>
                <w:szCs w:val="20"/>
              </w:rPr>
            </w:pPr>
            <w:r w:rsidRPr="00BB03E9">
              <w:rPr>
                <w:rFonts w:ascii="Arial" w:hAnsi="Arial" w:cs="Arial"/>
                <w:sz w:val="20"/>
                <w:szCs w:val="20"/>
              </w:rPr>
              <w:t>Examine a variety of literature from multiple cultures.</w:t>
            </w:r>
          </w:p>
          <w:p w14:paraId="05899131" w14:textId="77777777" w:rsidR="00BB03E9" w:rsidRPr="00BB03E9" w:rsidRDefault="00BB03E9" w:rsidP="00BB03E9">
            <w:pPr>
              <w:numPr>
                <w:ilvl w:val="0"/>
                <w:numId w:val="4"/>
              </w:numPr>
              <w:spacing w:after="0" w:line="240" w:lineRule="auto"/>
              <w:rPr>
                <w:rFonts w:ascii="Arial" w:hAnsi="Arial" w:cs="Arial"/>
                <w:sz w:val="20"/>
                <w:szCs w:val="20"/>
              </w:rPr>
            </w:pPr>
            <w:r w:rsidRPr="00BB03E9">
              <w:rPr>
                <w:rFonts w:ascii="Arial" w:hAnsi="Arial" w:cs="Arial"/>
                <w:sz w:val="20"/>
                <w:szCs w:val="20"/>
              </w:rPr>
              <w:t>Identify the character role such as hero, heroine, or villain</w:t>
            </w:r>
          </w:p>
          <w:p w14:paraId="5A440BB0" w14:textId="43426156" w:rsidR="003A5EBD" w:rsidRDefault="0076503B" w:rsidP="00BB03E9">
            <w:pPr>
              <w:pStyle w:val="ListParagraph"/>
              <w:numPr>
                <w:ilvl w:val="0"/>
                <w:numId w:val="4"/>
              </w:numPr>
              <w:spacing w:after="0" w:line="240" w:lineRule="auto"/>
              <w:rPr>
                <w:rFonts w:ascii="Arial" w:hAnsi="Arial" w:cs="Arial"/>
                <w:sz w:val="20"/>
                <w:szCs w:val="20"/>
              </w:rPr>
            </w:pPr>
            <w:r w:rsidRPr="0076503B">
              <w:rPr>
                <w:rFonts w:ascii="Arial" w:hAnsi="Arial" w:cs="Arial"/>
                <w:sz w:val="20"/>
                <w:szCs w:val="20"/>
              </w:rPr>
              <w:t>Identify similar themes and topics as well as patterns of events in stories, myths, and traditional literature from different cultures.</w:t>
            </w:r>
          </w:p>
          <w:p w14:paraId="25DDB4C8" w14:textId="671904BB" w:rsidR="00BB03E9" w:rsidRDefault="00BB03E9" w:rsidP="00BB03E9">
            <w:pPr>
              <w:pStyle w:val="ListParagraph"/>
              <w:numPr>
                <w:ilvl w:val="0"/>
                <w:numId w:val="4"/>
              </w:numPr>
              <w:spacing w:after="0" w:line="240" w:lineRule="auto"/>
              <w:rPr>
                <w:rFonts w:ascii="Arial" w:hAnsi="Arial" w:cs="Arial"/>
                <w:sz w:val="20"/>
                <w:szCs w:val="20"/>
              </w:rPr>
            </w:pPr>
            <w:r w:rsidRPr="00BB03E9">
              <w:rPr>
                <w:rFonts w:ascii="Arial" w:hAnsi="Arial" w:cs="Arial"/>
                <w:sz w:val="20"/>
                <w:szCs w:val="20"/>
              </w:rPr>
              <w:t>Distinguish between themes and topics as well as patterns of events in stories, myths, and traditional literature from different cultures.</w:t>
            </w:r>
          </w:p>
          <w:p w14:paraId="3699AC9F" w14:textId="77777777" w:rsidR="00BB03E9" w:rsidRPr="00BB03E9" w:rsidRDefault="00BB03E9" w:rsidP="00BB03E9">
            <w:pPr>
              <w:numPr>
                <w:ilvl w:val="0"/>
                <w:numId w:val="4"/>
              </w:numPr>
              <w:spacing w:after="0" w:line="240" w:lineRule="auto"/>
              <w:rPr>
                <w:rFonts w:ascii="Arial" w:hAnsi="Arial" w:cs="Arial"/>
                <w:sz w:val="20"/>
                <w:szCs w:val="20"/>
              </w:rPr>
            </w:pPr>
            <w:r>
              <w:rPr>
                <w:rFonts w:ascii="Arial" w:hAnsi="Arial" w:cs="Arial"/>
                <w:sz w:val="20"/>
                <w:szCs w:val="20"/>
              </w:rPr>
              <w:t>Compare and c</w:t>
            </w:r>
            <w:r w:rsidRPr="00BB03E9">
              <w:rPr>
                <w:rFonts w:ascii="Arial" w:hAnsi="Arial" w:cs="Arial"/>
                <w:sz w:val="20"/>
                <w:szCs w:val="20"/>
              </w:rPr>
              <w:t>ontrast two or more selections from the same genre</w:t>
            </w:r>
          </w:p>
          <w:p w14:paraId="408016CB" w14:textId="77777777" w:rsidR="00BB03E9" w:rsidRPr="00BB03E9" w:rsidRDefault="00BB03E9" w:rsidP="00BB03E9">
            <w:pPr>
              <w:numPr>
                <w:ilvl w:val="0"/>
                <w:numId w:val="4"/>
              </w:numPr>
              <w:spacing w:after="0" w:line="240" w:lineRule="auto"/>
              <w:rPr>
                <w:rFonts w:ascii="Arial" w:hAnsi="Arial" w:cs="Arial"/>
                <w:sz w:val="20"/>
                <w:szCs w:val="20"/>
              </w:rPr>
            </w:pPr>
            <w:r>
              <w:rPr>
                <w:rFonts w:ascii="Arial" w:hAnsi="Arial" w:cs="Arial"/>
                <w:sz w:val="20"/>
                <w:szCs w:val="20"/>
              </w:rPr>
              <w:t>Compare and c</w:t>
            </w:r>
            <w:r w:rsidRPr="00BB03E9">
              <w:rPr>
                <w:rFonts w:ascii="Arial" w:hAnsi="Arial" w:cs="Arial"/>
                <w:sz w:val="20"/>
                <w:szCs w:val="20"/>
              </w:rPr>
              <w:t>ontrast two or more selections from different genres</w:t>
            </w:r>
          </w:p>
          <w:p w14:paraId="6F317C5E" w14:textId="41CDD184" w:rsidR="00BB03E9" w:rsidRPr="00BB03E9" w:rsidRDefault="00BB03E9" w:rsidP="00BB03E9">
            <w:pPr>
              <w:numPr>
                <w:ilvl w:val="0"/>
                <w:numId w:val="4"/>
              </w:numPr>
              <w:spacing w:after="0" w:line="240" w:lineRule="auto"/>
              <w:rPr>
                <w:rFonts w:ascii="Arial" w:hAnsi="Arial" w:cs="Arial"/>
                <w:sz w:val="20"/>
                <w:szCs w:val="20"/>
              </w:rPr>
            </w:pPr>
            <w:r>
              <w:rPr>
                <w:rFonts w:ascii="Arial" w:hAnsi="Arial" w:cs="Arial"/>
                <w:sz w:val="20"/>
                <w:szCs w:val="20"/>
              </w:rPr>
              <w:t>Compare and c</w:t>
            </w:r>
            <w:r w:rsidRPr="00BB03E9">
              <w:rPr>
                <w:rFonts w:ascii="Arial" w:hAnsi="Arial" w:cs="Arial"/>
                <w:sz w:val="20"/>
                <w:szCs w:val="20"/>
              </w:rPr>
              <w:t xml:space="preserve">ontrast </w:t>
            </w:r>
            <w:r>
              <w:rPr>
                <w:rFonts w:ascii="Arial" w:hAnsi="Arial" w:cs="Arial"/>
                <w:sz w:val="20"/>
                <w:szCs w:val="20"/>
              </w:rPr>
              <w:t xml:space="preserve">stories, </w:t>
            </w:r>
            <w:r w:rsidRPr="00BB03E9">
              <w:rPr>
                <w:rFonts w:ascii="Arial" w:hAnsi="Arial" w:cs="Arial"/>
                <w:sz w:val="20"/>
                <w:szCs w:val="20"/>
              </w:rPr>
              <w:t>myths</w:t>
            </w:r>
            <w:r>
              <w:rPr>
                <w:rFonts w:ascii="Arial" w:hAnsi="Arial" w:cs="Arial"/>
                <w:sz w:val="20"/>
                <w:szCs w:val="20"/>
              </w:rPr>
              <w:t>,</w:t>
            </w:r>
            <w:r w:rsidRPr="00BB03E9">
              <w:rPr>
                <w:rFonts w:ascii="Arial" w:hAnsi="Arial" w:cs="Arial"/>
                <w:sz w:val="20"/>
                <w:szCs w:val="20"/>
              </w:rPr>
              <w:t xml:space="preserve"> </w:t>
            </w:r>
            <w:r>
              <w:rPr>
                <w:rFonts w:ascii="Arial" w:hAnsi="Arial" w:cs="Arial"/>
                <w:sz w:val="20"/>
                <w:szCs w:val="20"/>
              </w:rPr>
              <w:lastRenderedPageBreak/>
              <w:t xml:space="preserve">and traditional literature </w:t>
            </w:r>
            <w:r w:rsidRPr="00BB03E9">
              <w:rPr>
                <w:rFonts w:ascii="Arial" w:hAnsi="Arial" w:cs="Arial"/>
                <w:sz w:val="20"/>
                <w:szCs w:val="20"/>
              </w:rPr>
              <w:t xml:space="preserve">from different cultures </w:t>
            </w:r>
          </w:p>
          <w:p w14:paraId="60310635" w14:textId="1BB541EC" w:rsidR="00BB03E9" w:rsidRDefault="00BB03E9" w:rsidP="00BB03E9">
            <w:pPr>
              <w:numPr>
                <w:ilvl w:val="0"/>
                <w:numId w:val="4"/>
              </w:numPr>
              <w:spacing w:after="0" w:line="240" w:lineRule="auto"/>
              <w:rPr>
                <w:rFonts w:ascii="Arial" w:hAnsi="Arial" w:cs="Arial"/>
                <w:sz w:val="20"/>
                <w:szCs w:val="20"/>
              </w:rPr>
            </w:pPr>
            <w:r w:rsidRPr="00BB03E9">
              <w:rPr>
                <w:rFonts w:ascii="Arial" w:hAnsi="Arial" w:cs="Arial"/>
                <w:sz w:val="20"/>
                <w:szCs w:val="20"/>
              </w:rPr>
              <w:t>Compare and contrast themes, topics, or patterns in a variety of literature</w:t>
            </w:r>
          </w:p>
          <w:p w14:paraId="53C7FFFC" w14:textId="77777777" w:rsidR="00BB03E9" w:rsidRPr="00BB03E9" w:rsidRDefault="00BB03E9" w:rsidP="00BB03E9">
            <w:pPr>
              <w:pStyle w:val="ListParagraph"/>
              <w:numPr>
                <w:ilvl w:val="0"/>
                <w:numId w:val="4"/>
              </w:numPr>
              <w:spacing w:after="0" w:line="240" w:lineRule="auto"/>
              <w:rPr>
                <w:rFonts w:ascii="Arial" w:hAnsi="Arial" w:cs="Arial"/>
                <w:sz w:val="20"/>
                <w:szCs w:val="20"/>
              </w:rPr>
            </w:pPr>
            <w:r w:rsidRPr="00BB03E9">
              <w:rPr>
                <w:rFonts w:ascii="Arial" w:hAnsi="Arial" w:cs="Arial"/>
                <w:sz w:val="20"/>
                <w:szCs w:val="20"/>
              </w:rPr>
              <w:t>Compare and contrast similar themes, topics and patterns of events in a variety of literature.</w:t>
            </w:r>
          </w:p>
          <w:p w14:paraId="597E69B4" w14:textId="77777777" w:rsidR="00BB03E9" w:rsidRPr="0076503B" w:rsidRDefault="00BB03E9" w:rsidP="00BB03E9">
            <w:pPr>
              <w:pStyle w:val="ListParagraph"/>
              <w:spacing w:after="0" w:line="240" w:lineRule="auto"/>
              <w:rPr>
                <w:rFonts w:ascii="Arial" w:hAnsi="Arial" w:cs="Arial"/>
                <w:sz w:val="20"/>
                <w:szCs w:val="20"/>
              </w:rPr>
            </w:pPr>
          </w:p>
          <w:p w14:paraId="7F814609" w14:textId="77777777" w:rsidR="003A5EBD" w:rsidRPr="001E0887" w:rsidRDefault="003A5EBD" w:rsidP="00BF2D93">
            <w:pPr>
              <w:spacing w:after="0" w:line="240" w:lineRule="auto"/>
              <w:rPr>
                <w:rFonts w:ascii="Arial" w:hAnsi="Arial" w:cs="Arial"/>
                <w:sz w:val="20"/>
                <w:szCs w:val="20"/>
              </w:rPr>
            </w:pPr>
          </w:p>
        </w:tc>
        <w:tc>
          <w:tcPr>
            <w:tcW w:w="4392" w:type="dxa"/>
          </w:tcPr>
          <w:p w14:paraId="6FBF3176" w14:textId="42F64885" w:rsidR="00066731" w:rsidRPr="00066731" w:rsidRDefault="00066731" w:rsidP="00066731">
            <w:pPr>
              <w:spacing w:after="0" w:line="240" w:lineRule="auto"/>
              <w:ind w:left="360"/>
              <w:rPr>
                <w:rFonts w:ascii="Arial" w:hAnsi="Arial" w:cs="Arial"/>
                <w:b/>
                <w:sz w:val="20"/>
                <w:szCs w:val="20"/>
              </w:rPr>
            </w:pPr>
            <w:r w:rsidRPr="00066731">
              <w:rPr>
                <w:rFonts w:ascii="Arial" w:hAnsi="Arial" w:cs="Arial"/>
                <w:b/>
                <w:sz w:val="20"/>
                <w:szCs w:val="20"/>
              </w:rPr>
              <w:lastRenderedPageBreak/>
              <w:t>Review</w:t>
            </w:r>
          </w:p>
          <w:p w14:paraId="7D48FFBD" w14:textId="22686FEF" w:rsidR="00066731" w:rsidRDefault="00066731" w:rsidP="00066731">
            <w:pPr>
              <w:spacing w:after="0" w:line="240" w:lineRule="auto"/>
              <w:ind w:left="360"/>
              <w:rPr>
                <w:rFonts w:ascii="Arial" w:hAnsi="Arial" w:cs="Arial"/>
                <w:sz w:val="20"/>
                <w:szCs w:val="20"/>
              </w:rPr>
            </w:pPr>
            <w:r>
              <w:rPr>
                <w:rFonts w:ascii="Arial" w:hAnsi="Arial" w:cs="Arial"/>
                <w:sz w:val="20"/>
                <w:szCs w:val="20"/>
              </w:rPr>
              <w:t>theme</w:t>
            </w:r>
          </w:p>
          <w:p w14:paraId="1B9AF054" w14:textId="77777777" w:rsidR="00066731" w:rsidRDefault="00066731" w:rsidP="00066731">
            <w:pPr>
              <w:spacing w:after="0" w:line="240" w:lineRule="auto"/>
              <w:ind w:left="360"/>
              <w:rPr>
                <w:rFonts w:ascii="Arial" w:hAnsi="Arial" w:cs="Arial"/>
                <w:sz w:val="20"/>
                <w:szCs w:val="20"/>
              </w:rPr>
            </w:pPr>
          </w:p>
          <w:p w14:paraId="56AC98D0" w14:textId="78F4525A" w:rsidR="00066731" w:rsidRPr="00066731" w:rsidRDefault="00066731" w:rsidP="00066731">
            <w:pPr>
              <w:spacing w:after="0" w:line="240" w:lineRule="auto"/>
              <w:ind w:left="360"/>
              <w:rPr>
                <w:rFonts w:ascii="Arial" w:hAnsi="Arial" w:cs="Arial"/>
                <w:b/>
                <w:sz w:val="20"/>
                <w:szCs w:val="20"/>
              </w:rPr>
            </w:pPr>
            <w:r w:rsidRPr="00066731">
              <w:rPr>
                <w:rFonts w:ascii="Arial" w:hAnsi="Arial" w:cs="Arial"/>
                <w:b/>
                <w:sz w:val="20"/>
                <w:szCs w:val="20"/>
              </w:rPr>
              <w:t>Instruct</w:t>
            </w:r>
          </w:p>
          <w:p w14:paraId="5008361D" w14:textId="29CE08BB" w:rsidR="00066731" w:rsidRDefault="00066731" w:rsidP="00066731">
            <w:pPr>
              <w:spacing w:after="0" w:line="240" w:lineRule="auto"/>
              <w:ind w:left="360"/>
              <w:rPr>
                <w:rFonts w:ascii="Arial" w:hAnsi="Arial" w:cs="Arial"/>
                <w:sz w:val="20"/>
                <w:szCs w:val="20"/>
              </w:rPr>
            </w:pPr>
            <w:r>
              <w:rPr>
                <w:rFonts w:ascii="Arial" w:hAnsi="Arial" w:cs="Arial"/>
                <w:sz w:val="20"/>
                <w:szCs w:val="20"/>
              </w:rPr>
              <w:t>opposition of good (hero/heroine) and evil (villain)</w:t>
            </w:r>
          </w:p>
          <w:p w14:paraId="64A0DCB3" w14:textId="2F30B38F" w:rsidR="00066731" w:rsidRDefault="00066731" w:rsidP="00066731">
            <w:pPr>
              <w:spacing w:after="0" w:line="240" w:lineRule="auto"/>
              <w:ind w:left="360"/>
              <w:rPr>
                <w:rFonts w:ascii="Arial" w:hAnsi="Arial" w:cs="Arial"/>
                <w:sz w:val="20"/>
                <w:szCs w:val="20"/>
              </w:rPr>
            </w:pPr>
            <w:r>
              <w:rPr>
                <w:rFonts w:ascii="Arial" w:hAnsi="Arial" w:cs="Arial"/>
                <w:sz w:val="20"/>
                <w:szCs w:val="20"/>
              </w:rPr>
              <w:t>patterns of events (e.g. the quest)</w:t>
            </w:r>
          </w:p>
          <w:p w14:paraId="2F351215" w14:textId="398EEB85"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antagonist</w:t>
            </w:r>
          </w:p>
          <w:p w14:paraId="715B4CA6" w14:textId="6D240E1B"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compare</w:t>
            </w:r>
          </w:p>
          <w:p w14:paraId="58A04717" w14:textId="64328554"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contrast</w:t>
            </w:r>
          </w:p>
          <w:p w14:paraId="22038E1E"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culture</w:t>
            </w:r>
          </w:p>
          <w:p w14:paraId="5C52D05C"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fable</w:t>
            </w:r>
          </w:p>
          <w:p w14:paraId="70103129"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folktale</w:t>
            </w:r>
          </w:p>
          <w:p w14:paraId="46AEAE8A" w14:textId="3A768F11"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folklore</w:t>
            </w:r>
          </w:p>
          <w:p w14:paraId="44AEB950"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legend</w:t>
            </w:r>
          </w:p>
          <w:p w14:paraId="7E081796"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myth</w:t>
            </w:r>
          </w:p>
          <w:p w14:paraId="177DDA6B"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protagonist</w:t>
            </w:r>
          </w:p>
          <w:p w14:paraId="641334D9"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t>topic</w:t>
            </w:r>
          </w:p>
          <w:p w14:paraId="4FDF6344" w14:textId="77777777" w:rsidR="0076503B" w:rsidRPr="00066731" w:rsidRDefault="0076503B" w:rsidP="00066731">
            <w:pPr>
              <w:spacing w:after="0" w:line="240" w:lineRule="auto"/>
              <w:ind w:left="360"/>
              <w:rPr>
                <w:rFonts w:ascii="Arial" w:hAnsi="Arial" w:cs="Arial"/>
                <w:sz w:val="20"/>
                <w:szCs w:val="20"/>
              </w:rPr>
            </w:pPr>
            <w:r w:rsidRPr="00066731">
              <w:rPr>
                <w:rFonts w:ascii="Arial" w:hAnsi="Arial" w:cs="Arial"/>
                <w:sz w:val="20"/>
                <w:szCs w:val="20"/>
              </w:rPr>
              <w:lastRenderedPageBreak/>
              <w:t>traditional</w:t>
            </w:r>
          </w:p>
          <w:p w14:paraId="1D68C514" w14:textId="6031A501" w:rsidR="0076503B" w:rsidRPr="00066731" w:rsidRDefault="0076503B" w:rsidP="00066731">
            <w:pPr>
              <w:spacing w:after="0" w:line="240" w:lineRule="auto"/>
              <w:ind w:left="360"/>
              <w:rPr>
                <w:rFonts w:ascii="Arial" w:hAnsi="Arial" w:cs="Arial"/>
                <w:sz w:val="20"/>
                <w:szCs w:val="20"/>
              </w:rPr>
            </w:pPr>
          </w:p>
        </w:tc>
        <w:tc>
          <w:tcPr>
            <w:tcW w:w="4392" w:type="dxa"/>
          </w:tcPr>
          <w:p w14:paraId="575D42D7" w14:textId="77777777" w:rsidR="003A5EBD" w:rsidRPr="001E0887" w:rsidRDefault="003A5EBD" w:rsidP="00BF2D93">
            <w:pPr>
              <w:spacing w:after="0" w:line="240" w:lineRule="auto"/>
              <w:rPr>
                <w:rFonts w:ascii="Arial" w:hAnsi="Arial" w:cs="Arial"/>
                <w:sz w:val="20"/>
                <w:szCs w:val="20"/>
              </w:rPr>
            </w:pPr>
          </w:p>
          <w:p w14:paraId="2FDA2340" w14:textId="77777777" w:rsidR="003A5EBD" w:rsidRPr="001E0887" w:rsidRDefault="003A5EBD" w:rsidP="00BF2D93">
            <w:pPr>
              <w:spacing w:after="0" w:line="240" w:lineRule="auto"/>
              <w:rPr>
                <w:rFonts w:ascii="Arial" w:hAnsi="Arial" w:cs="Arial"/>
                <w:sz w:val="20"/>
                <w:szCs w:val="20"/>
              </w:rPr>
            </w:pPr>
          </w:p>
          <w:p w14:paraId="5E870C5D" w14:textId="77777777" w:rsidR="003A5EBD" w:rsidRPr="001E0887" w:rsidRDefault="003A5EBD" w:rsidP="00BF2D93">
            <w:pPr>
              <w:spacing w:after="0" w:line="240" w:lineRule="auto"/>
              <w:rPr>
                <w:rFonts w:ascii="Arial" w:hAnsi="Arial" w:cs="Arial"/>
                <w:sz w:val="20"/>
                <w:szCs w:val="20"/>
              </w:rPr>
            </w:pPr>
          </w:p>
          <w:p w14:paraId="7DF23BE0" w14:textId="77777777" w:rsidR="003A5EBD" w:rsidRPr="001E0887" w:rsidRDefault="003A5EBD" w:rsidP="00BF2D93">
            <w:pPr>
              <w:spacing w:after="0" w:line="240" w:lineRule="auto"/>
              <w:rPr>
                <w:rFonts w:ascii="Arial" w:hAnsi="Arial" w:cs="Arial"/>
                <w:sz w:val="20"/>
                <w:szCs w:val="20"/>
              </w:rPr>
            </w:pPr>
          </w:p>
          <w:p w14:paraId="50EFF663" w14:textId="77777777" w:rsidR="003A5EBD" w:rsidRPr="001E0887" w:rsidRDefault="003A5EBD" w:rsidP="00BF2D93">
            <w:pPr>
              <w:spacing w:after="0" w:line="240" w:lineRule="auto"/>
              <w:rPr>
                <w:rFonts w:ascii="Arial" w:hAnsi="Arial" w:cs="Arial"/>
                <w:sz w:val="20"/>
                <w:szCs w:val="20"/>
              </w:rPr>
            </w:pPr>
          </w:p>
        </w:tc>
      </w:tr>
      <w:tr w:rsidR="003A5EBD" w:rsidRPr="00B02E41" w14:paraId="2A014075" w14:textId="77777777" w:rsidTr="003A5EBD">
        <w:trPr>
          <w:jc w:val="center"/>
        </w:trPr>
        <w:tc>
          <w:tcPr>
            <w:tcW w:w="13176" w:type="dxa"/>
            <w:gridSpan w:val="3"/>
          </w:tcPr>
          <w:p w14:paraId="4FB8E3D1" w14:textId="17D430F9" w:rsidR="003A5EBD" w:rsidRPr="001E0887" w:rsidRDefault="003A5EBD" w:rsidP="00BF2D93">
            <w:pPr>
              <w:spacing w:after="0" w:line="240" w:lineRule="auto"/>
              <w:rPr>
                <w:rFonts w:ascii="Arial" w:hAnsi="Arial" w:cs="Arial"/>
                <w:sz w:val="20"/>
                <w:szCs w:val="20"/>
              </w:rPr>
            </w:pPr>
            <w:r w:rsidRPr="001E0887">
              <w:rPr>
                <w:rFonts w:ascii="Arial" w:hAnsi="Arial" w:cs="Arial"/>
                <w:sz w:val="20"/>
                <w:szCs w:val="20"/>
              </w:rPr>
              <w:lastRenderedPageBreak/>
              <w:t>I</w:t>
            </w:r>
            <w:r w:rsidRPr="001E0887">
              <w:rPr>
                <w:rFonts w:ascii="Arial" w:hAnsi="Arial" w:cs="Arial"/>
                <w:b/>
                <w:sz w:val="20"/>
                <w:szCs w:val="20"/>
              </w:rPr>
              <w:t>nstructional Resources</w:t>
            </w:r>
            <w:r w:rsidRPr="001E0887">
              <w:rPr>
                <w:rFonts w:ascii="Arial" w:hAnsi="Arial" w:cs="Arial"/>
                <w:sz w:val="20"/>
                <w:szCs w:val="20"/>
              </w:rPr>
              <w:t>:</w:t>
            </w:r>
          </w:p>
          <w:p w14:paraId="0308ACCF" w14:textId="77777777" w:rsidR="003A5EBD" w:rsidRPr="001E0887" w:rsidRDefault="003A5EBD" w:rsidP="00BF2D93">
            <w:pPr>
              <w:spacing w:after="0" w:line="240" w:lineRule="auto"/>
              <w:rPr>
                <w:rFonts w:ascii="Arial" w:hAnsi="Arial" w:cs="Arial"/>
                <w:sz w:val="20"/>
                <w:szCs w:val="20"/>
              </w:rPr>
            </w:pPr>
          </w:p>
          <w:p w14:paraId="7EDA398B" w14:textId="77777777" w:rsidR="003A5EBD" w:rsidRPr="001E0887" w:rsidRDefault="003A5EBD" w:rsidP="00BF2D93">
            <w:pPr>
              <w:spacing w:after="0" w:line="240" w:lineRule="auto"/>
              <w:rPr>
                <w:rFonts w:ascii="Arial" w:hAnsi="Arial" w:cs="Arial"/>
                <w:sz w:val="20"/>
                <w:szCs w:val="20"/>
              </w:rPr>
            </w:pPr>
          </w:p>
          <w:p w14:paraId="14DE7A1E" w14:textId="77777777" w:rsidR="003A5EBD" w:rsidRPr="001E0887" w:rsidRDefault="003A5EBD" w:rsidP="00BF2D93">
            <w:pPr>
              <w:spacing w:after="0" w:line="240" w:lineRule="auto"/>
              <w:rPr>
                <w:rFonts w:ascii="Arial" w:hAnsi="Arial" w:cs="Arial"/>
                <w:sz w:val="20"/>
                <w:szCs w:val="20"/>
              </w:rPr>
            </w:pPr>
          </w:p>
          <w:p w14:paraId="35FF9B9A" w14:textId="77777777" w:rsidR="003A5EBD" w:rsidRPr="001E0887" w:rsidRDefault="003A5EBD" w:rsidP="00BF2D93">
            <w:pPr>
              <w:spacing w:after="0" w:line="240" w:lineRule="auto"/>
              <w:rPr>
                <w:rFonts w:ascii="Arial" w:hAnsi="Arial" w:cs="Arial"/>
                <w:sz w:val="20"/>
                <w:szCs w:val="20"/>
              </w:rPr>
            </w:pPr>
          </w:p>
        </w:tc>
      </w:tr>
      <w:tr w:rsidR="003A5EBD" w:rsidRPr="00B02E41" w14:paraId="46F6CD76" w14:textId="77777777" w:rsidTr="003A5EBD">
        <w:trPr>
          <w:jc w:val="center"/>
        </w:trPr>
        <w:tc>
          <w:tcPr>
            <w:tcW w:w="13176" w:type="dxa"/>
            <w:gridSpan w:val="3"/>
          </w:tcPr>
          <w:p w14:paraId="0D12965C" w14:textId="77777777" w:rsidR="003A5EBD" w:rsidRPr="001E0887" w:rsidRDefault="003A5EBD" w:rsidP="00BF2D93">
            <w:pPr>
              <w:spacing w:after="0" w:line="240" w:lineRule="auto"/>
              <w:rPr>
                <w:rFonts w:ascii="Arial" w:hAnsi="Arial" w:cs="Arial"/>
                <w:sz w:val="20"/>
                <w:szCs w:val="20"/>
              </w:rPr>
            </w:pPr>
            <w:r w:rsidRPr="001E0887">
              <w:rPr>
                <w:rFonts w:ascii="Arial" w:hAnsi="Arial" w:cs="Arial"/>
                <w:b/>
                <w:sz w:val="20"/>
                <w:szCs w:val="20"/>
              </w:rPr>
              <w:t>Notes and Additional Information</w:t>
            </w:r>
            <w:r w:rsidRPr="001E0887">
              <w:rPr>
                <w:rFonts w:ascii="Arial" w:hAnsi="Arial" w:cs="Arial"/>
                <w:sz w:val="20"/>
                <w:szCs w:val="20"/>
              </w:rPr>
              <w:t>:</w:t>
            </w:r>
          </w:p>
          <w:p w14:paraId="1D1EF056" w14:textId="77777777" w:rsidR="003A5EBD" w:rsidRPr="001E0887" w:rsidRDefault="003A5EBD" w:rsidP="00BF2D93">
            <w:pPr>
              <w:spacing w:after="0" w:line="240" w:lineRule="auto"/>
              <w:rPr>
                <w:rFonts w:ascii="Arial" w:hAnsi="Arial" w:cs="Arial"/>
                <w:sz w:val="20"/>
                <w:szCs w:val="20"/>
              </w:rPr>
            </w:pPr>
          </w:p>
        </w:tc>
      </w:tr>
    </w:tbl>
    <w:p w14:paraId="600932BF" w14:textId="77777777" w:rsidR="003A5EBD" w:rsidRDefault="003A5EBD" w:rsidP="003A5EBD">
      <w:pPr>
        <w:jc w:val="center"/>
        <w:rPr>
          <w:b/>
          <w:i/>
        </w:rPr>
      </w:pPr>
    </w:p>
    <w:p w14:paraId="47DC7AC5" w14:textId="434DD648" w:rsidR="003A5EBD" w:rsidRPr="00304005" w:rsidRDefault="003A5EBD" w:rsidP="003A5EBD">
      <w:pPr>
        <w:pStyle w:val="NoSpacing"/>
        <w:jc w:val="center"/>
        <w:rPr>
          <w:rFonts w:ascii="Georgia" w:hAnsi="Georgia"/>
          <w:i/>
          <w:color w:val="FF0000"/>
          <w:sz w:val="20"/>
          <w:szCs w:val="20"/>
        </w:rPr>
      </w:pPr>
      <w:r w:rsidRPr="00304005">
        <w:rPr>
          <w:rFonts w:ascii="Georgia" w:hAnsi="Georgia"/>
          <w:i/>
          <w:color w:val="FF0000"/>
          <w:sz w:val="20"/>
          <w:szCs w:val="20"/>
        </w:rPr>
        <w:t>Anson County ~ Bladen County ~ Columbus County ~ Cumberland County ~ Ft. Bragg ~ Harnett County ~ Hoke County</w:t>
      </w:r>
    </w:p>
    <w:p w14:paraId="136028C9" w14:textId="377FF7AF" w:rsidR="003A5EBD" w:rsidRPr="00304005" w:rsidRDefault="003A5EBD" w:rsidP="003A5EBD">
      <w:pPr>
        <w:pStyle w:val="NoSpacing"/>
        <w:jc w:val="center"/>
        <w:rPr>
          <w:rFonts w:ascii="Georgia" w:hAnsi="Georgia"/>
          <w:i/>
          <w:color w:val="FF0000"/>
          <w:sz w:val="20"/>
          <w:szCs w:val="20"/>
        </w:rPr>
      </w:pPr>
      <w:r w:rsidRPr="00304005">
        <w:rPr>
          <w:rFonts w:ascii="Georgia" w:hAnsi="Georgia"/>
          <w:i/>
          <w:color w:val="FF0000"/>
          <w:sz w:val="20"/>
          <w:szCs w:val="20"/>
        </w:rPr>
        <w:t>Lee County ~ Montgomery County ~ Moore County ~ Richmond County ~ Robeson County ~ Scotland County ~ Whiteville City</w:t>
      </w:r>
    </w:p>
    <w:p w14:paraId="02144DD4" w14:textId="77777777" w:rsidR="003A5EBD" w:rsidRDefault="003A5EBD" w:rsidP="003A5EBD">
      <w:pPr>
        <w:jc w:val="center"/>
        <w:rPr>
          <w:b/>
          <w:i/>
        </w:rPr>
      </w:pPr>
    </w:p>
    <w:p w14:paraId="368FD41D" w14:textId="6A9A8FCC" w:rsidR="003A5EBD" w:rsidRPr="003A5EBD" w:rsidRDefault="003A5EBD" w:rsidP="003A5EBD">
      <w:pPr>
        <w:jc w:val="center"/>
        <w:rPr>
          <w:rFonts w:ascii="Times New Roman" w:hAnsi="Times New Roman"/>
          <w:b/>
          <w:i/>
          <w:sz w:val="18"/>
          <w:szCs w:val="18"/>
        </w:rPr>
      </w:pPr>
      <w:r>
        <w:rPr>
          <w:rFonts w:ascii="Times New Roman" w:hAnsi="Times New Roman"/>
          <w:b/>
          <w:i/>
          <w:sz w:val="18"/>
          <w:szCs w:val="18"/>
        </w:rPr>
        <w:t xml:space="preserve">Copyright (2012) – No portion of this document can be reproduced or used without the express permission of the Executive Director of the </w:t>
      </w:r>
      <w:proofErr w:type="spellStart"/>
      <w:r>
        <w:rPr>
          <w:rFonts w:ascii="Times New Roman" w:hAnsi="Times New Roman"/>
          <w:b/>
          <w:i/>
          <w:sz w:val="18"/>
          <w:szCs w:val="18"/>
        </w:rPr>
        <w:t>SandHills</w:t>
      </w:r>
      <w:proofErr w:type="spellEnd"/>
      <w:r>
        <w:rPr>
          <w:rFonts w:ascii="Times New Roman" w:hAnsi="Times New Roman"/>
          <w:b/>
          <w:i/>
          <w:sz w:val="18"/>
          <w:szCs w:val="18"/>
        </w:rPr>
        <w:t xml:space="preserve"> Regional Educational Consortium</w:t>
      </w:r>
    </w:p>
    <w:sectPr w:rsidR="003A5EBD" w:rsidRPr="003A5EBD" w:rsidSect="003A5EBD">
      <w:pgSz w:w="15840" w:h="12240" w:orient="landscape"/>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E7FAC"/>
    <w:multiLevelType w:val="hybridMultilevel"/>
    <w:tmpl w:val="5E68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ED5C88"/>
    <w:multiLevelType w:val="hybridMultilevel"/>
    <w:tmpl w:val="F5184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93026A"/>
    <w:multiLevelType w:val="hybridMultilevel"/>
    <w:tmpl w:val="8676D2EA"/>
    <w:lvl w:ilvl="0" w:tplc="76AAB19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312C46"/>
    <w:multiLevelType w:val="hybridMultilevel"/>
    <w:tmpl w:val="8CE0D6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735F2B"/>
    <w:multiLevelType w:val="hybridMultilevel"/>
    <w:tmpl w:val="8DF67F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2FA"/>
    <w:rsid w:val="00066731"/>
    <w:rsid w:val="000D72FA"/>
    <w:rsid w:val="001B76CB"/>
    <w:rsid w:val="001E0887"/>
    <w:rsid w:val="002E11B4"/>
    <w:rsid w:val="002F68B3"/>
    <w:rsid w:val="00304005"/>
    <w:rsid w:val="003A5EBD"/>
    <w:rsid w:val="006E050B"/>
    <w:rsid w:val="0076503B"/>
    <w:rsid w:val="00951C7E"/>
    <w:rsid w:val="00B3549D"/>
    <w:rsid w:val="00B73DFC"/>
    <w:rsid w:val="00BB03E9"/>
    <w:rsid w:val="00C974F2"/>
    <w:rsid w:val="00D91C9D"/>
    <w:rsid w:val="00EC6DD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FA"/>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EBD"/>
    <w:rPr>
      <w:rFonts w:ascii="Tahoma" w:eastAsia="Calibri" w:hAnsi="Tahoma" w:cs="Tahoma"/>
      <w:sz w:val="16"/>
      <w:szCs w:val="16"/>
    </w:rPr>
  </w:style>
  <w:style w:type="paragraph" w:styleId="NoSpacing">
    <w:name w:val="No Spacing"/>
    <w:uiPriority w:val="1"/>
    <w:qFormat/>
    <w:rsid w:val="003A5EBD"/>
    <w:rPr>
      <w:rFonts w:eastAsiaTheme="minorHAnsi"/>
      <w:sz w:val="22"/>
      <w:szCs w:val="22"/>
    </w:rPr>
  </w:style>
  <w:style w:type="paragraph" w:styleId="ListParagraph">
    <w:name w:val="List Paragraph"/>
    <w:basedOn w:val="Normal"/>
    <w:uiPriority w:val="34"/>
    <w:qFormat/>
    <w:rsid w:val="007650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FA"/>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EBD"/>
    <w:rPr>
      <w:rFonts w:ascii="Tahoma" w:eastAsia="Calibri" w:hAnsi="Tahoma" w:cs="Tahoma"/>
      <w:sz w:val="16"/>
      <w:szCs w:val="16"/>
    </w:rPr>
  </w:style>
  <w:style w:type="paragraph" w:styleId="NoSpacing">
    <w:name w:val="No Spacing"/>
    <w:uiPriority w:val="1"/>
    <w:qFormat/>
    <w:rsid w:val="003A5EBD"/>
    <w:rPr>
      <w:rFonts w:eastAsiaTheme="minorHAnsi"/>
      <w:sz w:val="22"/>
      <w:szCs w:val="22"/>
    </w:rPr>
  </w:style>
  <w:style w:type="paragraph" w:styleId="ListParagraph">
    <w:name w:val="List Paragraph"/>
    <w:basedOn w:val="Normal"/>
    <w:uiPriority w:val="34"/>
    <w:qFormat/>
    <w:rsid w:val="00765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Hoke County Schools</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Atkinson</dc:creator>
  <cp:lastModifiedBy>WFUT4102010</cp:lastModifiedBy>
  <cp:revision>4</cp:revision>
  <dcterms:created xsi:type="dcterms:W3CDTF">2012-06-08T14:24:00Z</dcterms:created>
  <dcterms:modified xsi:type="dcterms:W3CDTF">2012-08-04T18:27:00Z</dcterms:modified>
</cp:coreProperties>
</file>